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E10DB2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7B32BF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FABB98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6D5B2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9F8DBB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B12B2E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67655E0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73BB6B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3EDDC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9CF22C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A757C43" w14:textId="77777777">
            <w:r w:rsidRPr="00C379C8">
              <w:t>European Commission</w:t>
            </w:r>
          </w:p>
          <w:p w:rsidR="00EE3A11" w:rsidRPr="00C379C8" w:rsidP="000C3B6C" w14:paraId="182D05FC" w14:textId="77777777">
            <w:r w:rsidRPr="00C379C8">
              <w:t>EU-TBT Enquiry Point,</w:t>
            </w:r>
          </w:p>
          <w:p w:rsidR="00EE3A11" w:rsidRPr="00C379C8" w:rsidP="000C3B6C" w14:paraId="124B60C1" w14:textId="77777777">
            <w:r w:rsidRPr="00C379C8">
              <w:t>Fax: +(32) 2 299 80 43,</w:t>
            </w:r>
          </w:p>
          <w:p w:rsidR="00EE3A11" w:rsidRPr="00C379C8" w:rsidP="000C3B6C" w14:paraId="70CB752C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485B0781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7EDBF41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8DD05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21EB39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A1CB4D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2F8FC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6AB064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Electrical and electronic equipment </w:t>
            </w:r>
          </w:p>
        </w:tc>
      </w:tr>
      <w:tr w14:paraId="3163AC1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52C7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4C0C9B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delegated directive amending Annex III and IV to Directive 2011/65/EU of the European Parliament and of the Council as regards exemption points for lead and cadmium in certain electrical and electronic equipment; (6 page(s), in English), (21 page(s), in English)</w:t>
            </w:r>
          </w:p>
          <w:p w:rsidR="000C3B6C" w:rsidRPr="000C3B6C" w:rsidP="002F6A28" w14:paraId="43068E9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B198F" w:rsidRPr="00CE6C29" w:rsidP="002F6A28" w14:paraId="6D98803B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https://members.wto.org/crnattachments/2026/TBT/EEC/26_03602_00_e.pdf</w:t>
              </w:r>
            </w:hyperlink>
          </w:p>
          <w:p w:rsidR="005B198F" w:rsidRPr="00CE6C29" w:rsidP="002F6A28" w14:paraId="0E7C47AE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https://members.wto.org/crnattachments/2026/TBT/EEC/26_03602_01_e.pdf</w:t>
              </w:r>
            </w:hyperlink>
          </w:p>
          <w:p w:rsidR="005B198F" w:rsidRPr="00087F9D" w:rsidP="002F6A28" w14:paraId="50D69595" w14:textId="77777777">
            <w:pPr>
              <w:rPr>
                <w:iCs/>
                <w:lang w:val="fr-CH"/>
              </w:rPr>
            </w:pPr>
            <w:r w:rsidRPr="00087F9D">
              <w:rPr>
                <w:iCs/>
                <w:lang w:val="fr-CH"/>
              </w:rPr>
              <w:t>European Commission</w:t>
            </w:r>
          </w:p>
          <w:p w:rsidR="005B198F" w:rsidRPr="00087F9D" w:rsidP="002F6A28" w14:paraId="533557E2" w14:textId="77777777">
            <w:pPr>
              <w:rPr>
                <w:iCs/>
                <w:lang w:val="fr-CH"/>
              </w:rPr>
            </w:pPr>
            <w:r w:rsidRPr="00087F9D">
              <w:rPr>
                <w:iCs/>
                <w:lang w:val="fr-CH"/>
              </w:rPr>
              <w:t>EU-TBT Enquiry Point</w:t>
            </w:r>
          </w:p>
          <w:p w:rsidR="005B198F" w:rsidRPr="00087F9D" w:rsidP="002F6A28" w14:paraId="40796260" w14:textId="77777777">
            <w:pPr>
              <w:rPr>
                <w:iCs/>
                <w:lang w:val="fr-CH"/>
              </w:rPr>
            </w:pPr>
            <w:r w:rsidRPr="00087F9D">
              <w:rPr>
                <w:iCs/>
                <w:lang w:val="fr-CH"/>
              </w:rPr>
              <w:t>Fax: + (32) 2 299 80 43</w:t>
            </w:r>
          </w:p>
          <w:p w:rsidR="005B198F" w:rsidRPr="00087F9D" w:rsidP="002F6A28" w14:paraId="0BBFDE96" w14:textId="77777777">
            <w:pPr>
              <w:rPr>
                <w:iCs/>
                <w:lang w:val="fr-CH"/>
              </w:rPr>
            </w:pPr>
            <w:r w:rsidRPr="00087F9D">
              <w:rPr>
                <w:iCs/>
                <w:lang w:val="fr-CH"/>
              </w:rPr>
              <w:t xml:space="preserve">E-mail: </w:t>
            </w:r>
            <w:hyperlink r:id="rId6" w:history="1">
              <w:r w:rsidRPr="00087F9D">
                <w:rPr>
                  <w:iCs/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5B198F" w:rsidRPr="00CE6C29" w:rsidP="002F6A28" w14:paraId="5ACACE9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38F791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CD4A7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9AE90D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Delegated Directive concerns applications for specific and temporary exemption from the RoHS 2 (Directive 2011/65/EU) substance restrictions. The criteria for granting renewal are mostly met and it is proposed to renew and amend certain exemptions under the Annex III and IV of the Directive 2011/65/EU. </w:t>
            </w:r>
          </w:p>
        </w:tc>
      </w:tr>
      <w:tr w14:paraId="69DAE0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9980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7E0103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Adaptation of the Annexes to scientific and technical progress in order to allow innovation without compromising the objectives in Article 1 of the Directive 2011/65/EU.; Protection of human health or safety; Protection of the environment</w:t>
            </w:r>
          </w:p>
        </w:tc>
      </w:tr>
      <w:tr w14:paraId="64CFBEA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44572" w14:paraId="0CD7023B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F7D49C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48447E8" w14:textId="77777777">
            <w:pPr>
              <w:spacing w:before="120" w:after="120"/>
            </w:pPr>
            <w:r w:rsidRPr="002F6A28">
              <w:t xml:space="preserve">Five scientific background studies evaluating the specific exemptions are available at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https://op.europa.eu/en/publication-detail/-/publication/252f2c11-c577-11ea-b3a4-01aa75ed71a1/language-en,</w:t>
              </w:r>
            </w:hyperlink>
            <w:r w:rsidRPr="002F6A28">
              <w:t xml:space="preserve"> </w:t>
            </w:r>
            <w:hyperlink r:id="rId11" w:history="1">
              <w:r w:rsidRPr="002F6A28">
                <w:rPr>
                  <w:color w:val="0000FF"/>
                  <w:u w:val="single"/>
                </w:rPr>
                <w:t>https://op.europa.eu/en/publication-detail/-/publication/0c46722c-9523-11ec-b4e4-01aa75ed71a1/language-en</w:t>
              </w:r>
            </w:hyperlink>
            <w:r w:rsidRPr="002F6A28">
              <w:t xml:space="preserve">, </w:t>
            </w:r>
            <w:hyperlink r:id="rId12" w:history="1">
              <w:r w:rsidRPr="002F6A28">
                <w:rPr>
                  <w:color w:val="0000FF"/>
                  <w:u w:val="single"/>
                </w:rPr>
                <w:t xml:space="preserve">https://op.europa.eu/en/publication-detail/-/publication/65558f0a-b61f-11ec-b6f4-01aa75ed71a1/language-en </w:t>
              </w:r>
            </w:hyperlink>
            <w:r w:rsidRPr="002F6A28">
              <w:t xml:space="preserve">, </w:t>
            </w:r>
            <w:hyperlink r:id="rId13" w:history="1">
              <w:r w:rsidRPr="002F6A28">
                <w:rPr>
                  <w:color w:val="0000FF"/>
                  <w:u w:val="single"/>
                </w:rPr>
                <w:t>https://op.europa.eu/en/publication-detail/-/publication/1b624121-8272-11ed-9887-01aa75ed71a1/language-en</w:t>
              </w:r>
            </w:hyperlink>
            <w:r w:rsidRPr="002F6A28">
              <w:t xml:space="preserve"> and </w:t>
            </w:r>
            <w:hyperlink r:id="rId14" w:history="1">
              <w:r w:rsidRPr="002F6A28">
                <w:rPr>
                  <w:color w:val="0000FF"/>
                  <w:u w:val="single"/>
                </w:rPr>
                <w:t>https://op.europa.eu/en/publication-detail/-/publication/708d9a2a-26e1-11ef-a195-01aa75ed71a1/language-en.</w:t>
              </w:r>
            </w:hyperlink>
          </w:p>
          <w:p w:rsidR="00EE3A11" w:rsidRPr="002F6A28" w:rsidP="007F13E8" w14:paraId="11C78FB6" w14:textId="77777777">
            <w:pPr>
              <w:spacing w:before="120" w:after="120"/>
            </w:pPr>
            <w:r w:rsidRPr="002F6A28">
              <w:rPr>
                <w:b/>
                <w:bCs/>
              </w:rPr>
              <w:t>Directive 2011/65/EU of the European Parliament and of the Council of 8 June 2011 on the restriction of the use of certain hazardous substances in electrical and electronic equipment:</w:t>
            </w:r>
          </w:p>
          <w:p w:rsidR="00EE3A11" w:rsidRPr="002F6A28" w:rsidP="007F13E8" w14:paraId="2FE0F97B" w14:textId="77777777">
            <w:pPr>
              <w:spacing w:before="120" w:after="120"/>
            </w:pPr>
            <w:hyperlink r:id="rId15" w:history="1">
              <w:r w:rsidRPr="002F6A28">
                <w:rPr>
                  <w:color w:val="0000FF"/>
                  <w:u w:val="single"/>
                </w:rPr>
                <w:t>http://eur-lex.europa.eu/legal-content/EN/TXT/?qid=1438768100804&amp;uri=CELEX:32011L0065</w:t>
              </w:r>
            </w:hyperlink>
          </w:p>
        </w:tc>
      </w:tr>
      <w:tr w14:paraId="6A5B91A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0D1AD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6F67D7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September 2026</w:t>
            </w:r>
          </w:p>
          <w:p w:rsidR="00EE3A11" w:rsidRPr="002F6A28" w:rsidP="008953C4" w14:paraId="4937524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from publication in the Official Journal of the EU (about three months after adoption approximately)</w:t>
            </w:r>
          </w:p>
        </w:tc>
      </w:tr>
      <w:tr w14:paraId="7877EE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5EEBD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2EEACA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962353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September 2026</w:t>
            </w:r>
          </w:p>
          <w:p w:rsidR="000C3B6C" w:rsidRPr="00E3324D" w:rsidP="000C3B6C" w14:paraId="27A17CA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9386A3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087F9D" w:rsidP="000C3B6C" w14:paraId="04506FE5" w14:textId="77777777">
            <w:pPr>
              <w:rPr>
                <w:lang w:val="fr-CH"/>
              </w:rPr>
            </w:pPr>
            <w:r w:rsidRPr="00087F9D">
              <w:rPr>
                <w:lang w:val="fr-CH"/>
              </w:rPr>
              <w:t>European Commission,</w:t>
            </w:r>
          </w:p>
          <w:p w:rsidR="00CE6C29" w:rsidRPr="00087F9D" w:rsidP="000C3B6C" w14:paraId="1CE14D7B" w14:textId="77777777">
            <w:pPr>
              <w:rPr>
                <w:lang w:val="fr-CH"/>
              </w:rPr>
            </w:pPr>
            <w:r w:rsidRPr="00087F9D">
              <w:rPr>
                <w:lang w:val="fr-CH"/>
              </w:rPr>
              <w:t>EU-TBT Enquiry Point,</w:t>
            </w:r>
          </w:p>
          <w:p w:rsidR="00CE6C29" w:rsidRPr="00087F9D" w:rsidP="000C3B6C" w14:paraId="0A661E63" w14:textId="77777777">
            <w:pPr>
              <w:rPr>
                <w:lang w:val="fr-CH"/>
              </w:rPr>
            </w:pPr>
            <w:r w:rsidRPr="00087F9D">
              <w:rPr>
                <w:lang w:val="fr-CH"/>
              </w:rPr>
              <w:t>Fax: + (32) 2 299 80 43,</w:t>
            </w:r>
          </w:p>
          <w:p w:rsidR="00CE6C29" w:rsidRPr="00087F9D" w:rsidP="000C3B6C" w14:paraId="0AA86002" w14:textId="77777777">
            <w:pPr>
              <w:spacing w:after="120"/>
              <w:rPr>
                <w:lang w:val="fr-CH"/>
              </w:rPr>
            </w:pPr>
            <w:r w:rsidRPr="00087F9D">
              <w:rPr>
                <w:lang w:val="fr-CH"/>
              </w:rPr>
              <w:t xml:space="preserve">E-mail: </w:t>
            </w:r>
            <w:hyperlink r:id="rId6" w:history="1">
              <w:r w:rsidRPr="00087F9D">
                <w:rPr>
                  <w:color w:val="0000FF"/>
                  <w:u w:val="single"/>
                  <w:lang w:val="fr-CH"/>
                </w:rPr>
                <w:t>grow-eu-tbt@ec.europa.eu</w:t>
              </w:r>
            </w:hyperlink>
          </w:p>
        </w:tc>
      </w:tr>
    </w:tbl>
    <w:p w:rsidR="00EE3A11" w:rsidRPr="00087F9D" w:rsidP="00887259" w14:paraId="2C00441F" w14:textId="77777777">
      <w:pPr>
        <w:jc w:val="center"/>
        <w:rPr>
          <w:lang w:val="fr-CH"/>
        </w:rPr>
      </w:pPr>
    </w:p>
    <w:sectPr w:rsidSect="00760D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3026D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7ABDE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3351F2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461BE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4CA51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0AAD3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47BD8B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52B0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G/TBT/N/EU/1223</w:t>
    </w:r>
    <w:bookmarkEnd w:id="0"/>
  </w:p>
  <w:p w:rsidR="009239F7" w:rsidRPr="002F6A28" w:rsidP="009239F7" w14:paraId="073BD4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D54AB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433D54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5A403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0C1F7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1F786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9B7EE2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15F289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AA43CA9" w14:textId="77777777">
          <w:pPr>
            <w:jc w:val="right"/>
            <w:rPr>
              <w:b/>
              <w:szCs w:val="16"/>
            </w:rPr>
          </w:pPr>
        </w:p>
      </w:tc>
    </w:tr>
    <w:tr w14:paraId="45D75B8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037D79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957515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G/TBT/N/EU/1223</w:t>
          </w:r>
          <w:bookmarkEnd w:id="2"/>
        </w:p>
      </w:tc>
    </w:tr>
    <w:tr w14:paraId="3AB9B6F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1DE3DD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F7B3C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10 July 2026</w:t>
          </w:r>
          <w:bookmarkEnd w:id="3"/>
          <w:bookmarkEnd w:id="4"/>
        </w:p>
      </w:tc>
    </w:tr>
    <w:tr w14:paraId="20D6345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1ADB09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(26-4973)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F5CA94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6047D9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4A3365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46872B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551DCE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0712449">
    <w:abstractNumId w:val="9"/>
  </w:num>
  <w:num w:numId="2" w16cid:durableId="1934975738">
    <w:abstractNumId w:val="7"/>
  </w:num>
  <w:num w:numId="3" w16cid:durableId="1156605023">
    <w:abstractNumId w:val="6"/>
  </w:num>
  <w:num w:numId="4" w16cid:durableId="1681348362">
    <w:abstractNumId w:val="5"/>
  </w:num>
  <w:num w:numId="5" w16cid:durableId="1903832956">
    <w:abstractNumId w:val="4"/>
  </w:num>
  <w:num w:numId="6" w16cid:durableId="1485321524">
    <w:abstractNumId w:val="12"/>
  </w:num>
  <w:num w:numId="7" w16cid:durableId="1425373802">
    <w:abstractNumId w:val="11"/>
  </w:num>
  <w:num w:numId="8" w16cid:durableId="1783190051">
    <w:abstractNumId w:val="10"/>
  </w:num>
  <w:num w:numId="9" w16cid:durableId="18624301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9302626">
    <w:abstractNumId w:val="13"/>
  </w:num>
  <w:num w:numId="11" w16cid:durableId="1224944521">
    <w:abstractNumId w:val="8"/>
  </w:num>
  <w:num w:numId="12" w16cid:durableId="1335574776">
    <w:abstractNumId w:val="3"/>
  </w:num>
  <w:num w:numId="13" w16cid:durableId="1489830760">
    <w:abstractNumId w:val="2"/>
  </w:num>
  <w:num w:numId="14" w16cid:durableId="880091565">
    <w:abstractNumId w:val="1"/>
  </w:num>
  <w:num w:numId="15" w16cid:durableId="68826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87F9D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44572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4385A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198F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7536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9F7964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B98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43BF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A0F1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op.europa.eu/en/publication-detail/-/publication/252f2c11-c577-11ea-b3a4-01aa75ed71a1/language-en," TargetMode="External" /><Relationship Id="rId11" Type="http://schemas.openxmlformats.org/officeDocument/2006/relationships/hyperlink" Target="https://op.europa.eu/en/publication-detail/-/publication/0c46722c-9523-11ec-b4e4-01aa75ed71a1/language-en" TargetMode="External" /><Relationship Id="rId12" Type="http://schemas.openxmlformats.org/officeDocument/2006/relationships/hyperlink" Target="https://op.europa.eu/en/publication-detail/-/publication/65558f0a-b61f-11ec-b6f4-01aa75ed71a1/language-en" TargetMode="External" /><Relationship Id="rId13" Type="http://schemas.openxmlformats.org/officeDocument/2006/relationships/hyperlink" Target="https://op.europa.eu/en/publication-detail/-/publication/1b624121-8272-11ed-9887-01aa75ed71a1/language-en" TargetMode="External" /><Relationship Id="rId14" Type="http://schemas.openxmlformats.org/officeDocument/2006/relationships/hyperlink" Target="https://op.europa.eu/en/publication-detail/-/publication/708d9a2a-26e1-11ef-a195-01aa75ed71a1/language-en." TargetMode="External" /><Relationship Id="rId15" Type="http://schemas.openxmlformats.org/officeDocument/2006/relationships/hyperlink" Target="http://eur-lex.europa.eu/legal-content/EN/TXT/?qid=1438768100804&amp;uri=CELEX:32011L0065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6/TBT/EEC/26_03602_00_e.pdf" TargetMode="External" /><Relationship Id="rId9" Type="http://schemas.openxmlformats.org/officeDocument/2006/relationships/hyperlink" Target="https://members.wto.org/crnattachments/2026/TBT/EEC/26_03602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B8D29-2D24-4F07-B4DC-96CA0336846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410</Words>
  <Characters>3123</Characters>
  <Application>Microsoft Office Word</Application>
  <DocSecurity>0</DocSecurity>
  <Lines>75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2026-07-10T13:45:00Z</dcterms:created>
  <dcterms:modified xsi:type="dcterms:W3CDTF">2026-07-10T14:02:00Z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