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FEA0610" w14:textId="77777777">
      <w:pPr>
        <w:pStyle w:val="Title"/>
        <w:rPr>
          <w:caps w:val="0"/>
          <w:kern w:val="0"/>
        </w:rPr>
      </w:pPr>
      <w:r w:rsidRPr="002F6A28">
        <w:rPr>
          <w:caps w:val="0"/>
          <w:kern w:val="0"/>
        </w:rPr>
        <w:t>NOTIFICATION</w:t>
      </w:r>
    </w:p>
    <w:p w:rsidR="009239F7" w:rsidRPr="002F6A28" w:rsidP="002F6A28" w14:paraId="6FF75FDD" w14:textId="77777777">
      <w:pPr>
        <w:jc w:val="center"/>
      </w:pPr>
      <w:r w:rsidRPr="002F6A28">
        <w:t>The following notification is being circulated in accordance with Article 10.6</w:t>
      </w:r>
    </w:p>
    <w:p w:rsidR="009239F7" w:rsidRPr="002F6A28" w:rsidP="002F6A28" w14:paraId="0025892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7B58D67" w14:textId="77777777" w:rsidTr="00DB13FE">
        <w:tblPrEx>
          <w:tblW w:w="5000" w:type="pct"/>
          <w:tblLayout w:type="fixed"/>
          <w:tblLook w:val="0000"/>
        </w:tblPrEx>
        <w:tc>
          <w:tcPr>
            <w:tcW w:w="607" w:type="dxa"/>
            <w:tcBorders>
              <w:top w:val="double" w:sz="4" w:space="0" w:color="auto"/>
            </w:tcBorders>
          </w:tcPr>
          <w:p w:rsidR="00F85C99" w:rsidRPr="002F6A28" w:rsidP="002F6A28" w14:paraId="3B0AD443"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97DF24C"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5FC51B4F"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472778EC" w14:textId="77777777" w:rsidTr="00DB13FE">
        <w:tblPrEx>
          <w:tblW w:w="5000" w:type="pct"/>
          <w:tblLayout w:type="fixed"/>
          <w:tblLook w:val="0000"/>
        </w:tblPrEx>
        <w:tc>
          <w:tcPr>
            <w:tcW w:w="607" w:type="dxa"/>
          </w:tcPr>
          <w:p w:rsidR="00F85C99" w:rsidRPr="002F6A28" w:rsidP="002F6A28" w14:paraId="7AFE6AE0" w14:textId="77777777">
            <w:pPr>
              <w:spacing w:before="120" w:after="120"/>
              <w:jc w:val="left"/>
            </w:pPr>
            <w:r w:rsidRPr="002F6A28">
              <w:rPr>
                <w:b/>
              </w:rPr>
              <w:t>2.</w:t>
            </w:r>
          </w:p>
        </w:tc>
        <w:tc>
          <w:tcPr>
            <w:tcW w:w="8373" w:type="dxa"/>
          </w:tcPr>
          <w:p w:rsidR="00F85C99" w:rsidRPr="002F6A28" w:rsidP="000C3B6C" w14:paraId="0D571800" w14:textId="77777777">
            <w:pPr>
              <w:spacing w:before="120" w:after="120"/>
            </w:pPr>
            <w:r w:rsidRPr="002F6A28">
              <w:rPr>
                <w:b/>
              </w:rPr>
              <w:t>Agency responsible:</w:t>
            </w:r>
            <w:r w:rsidRPr="00C379C8" w:rsidR="00EE3A11">
              <w:t xml:space="preserve"> </w:t>
            </w:r>
          </w:p>
          <w:p w:rsidR="00EE3A11" w:rsidRPr="00C379C8" w:rsidP="000C3B6C" w14:paraId="61407EF5" w14:textId="77777777">
            <w:r w:rsidRPr="00C379C8">
              <w:t>European Commission</w:t>
            </w:r>
          </w:p>
          <w:p w:rsidR="00EE3A11" w:rsidRPr="00C379C8" w:rsidP="000C3B6C" w14:paraId="0253575F" w14:textId="77777777">
            <w:r w:rsidRPr="00C379C8">
              <w:t>EU-TBT Enquiry Point,</w:t>
            </w:r>
          </w:p>
          <w:p w:rsidR="00EE3A11" w:rsidRPr="00C379C8" w:rsidP="000C3B6C" w14:paraId="524B8D3C" w14:textId="77777777">
            <w:r w:rsidRPr="00C379C8">
              <w:t>Fax: +(32) 2 299 80 43,</w:t>
            </w:r>
          </w:p>
          <w:p w:rsidR="00EE3A11" w:rsidRPr="00C379C8" w:rsidP="000C3B6C" w14:paraId="377619B5" w14:textId="77777777">
            <w:r w:rsidRPr="00C379C8">
              <w:t xml:space="preserve">E-mail: </w:t>
            </w:r>
            <w:hyperlink r:id="rId6" w:history="1">
              <w:r w:rsidRPr="00C379C8">
                <w:rPr>
                  <w:color w:val="0000FF"/>
                  <w:u w:val="single"/>
                </w:rPr>
                <w:t>grow-eu-tbt@ec.europa.eu</w:t>
              </w:r>
            </w:hyperlink>
          </w:p>
          <w:p w:rsidR="00EE3A11" w:rsidRPr="00C379C8" w:rsidP="000C3B6C" w14:paraId="48C4F63E"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46E2F5DE" w14:textId="77777777" w:rsidTr="00DB13FE">
        <w:tblPrEx>
          <w:tblW w:w="5000" w:type="pct"/>
          <w:tblLayout w:type="fixed"/>
          <w:tblLook w:val="0000"/>
        </w:tblPrEx>
        <w:tc>
          <w:tcPr>
            <w:tcW w:w="607" w:type="dxa"/>
          </w:tcPr>
          <w:p w:rsidR="00F85C99" w:rsidRPr="002F6A28" w:rsidP="002F6A28" w14:paraId="5056CBC0" w14:textId="77777777">
            <w:pPr>
              <w:spacing w:before="120" w:after="120"/>
              <w:jc w:val="left"/>
              <w:rPr>
                <w:b/>
              </w:rPr>
            </w:pPr>
            <w:r w:rsidRPr="002F6A28">
              <w:rPr>
                <w:b/>
              </w:rPr>
              <w:t>3.</w:t>
            </w:r>
          </w:p>
        </w:tc>
        <w:tc>
          <w:tcPr>
            <w:tcW w:w="8373" w:type="dxa"/>
          </w:tcPr>
          <w:p w:rsidR="00F85C99" w:rsidRPr="0058336F" w:rsidP="002F6A28" w14:paraId="2CD372AC"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AB4BFDD" w14:textId="77777777" w:rsidTr="00DB13FE">
        <w:tblPrEx>
          <w:tblW w:w="5000" w:type="pct"/>
          <w:tblLayout w:type="fixed"/>
          <w:tblLook w:val="0000"/>
        </w:tblPrEx>
        <w:tc>
          <w:tcPr>
            <w:tcW w:w="607" w:type="dxa"/>
          </w:tcPr>
          <w:p w:rsidR="00F85C99" w:rsidRPr="002F6A28" w:rsidP="002F6A28" w14:paraId="0BFF2722" w14:textId="77777777">
            <w:pPr>
              <w:spacing w:before="120" w:after="120"/>
              <w:jc w:val="left"/>
            </w:pPr>
            <w:r w:rsidRPr="002F6A28">
              <w:rPr>
                <w:b/>
              </w:rPr>
              <w:t>4.</w:t>
            </w:r>
          </w:p>
        </w:tc>
        <w:tc>
          <w:tcPr>
            <w:tcW w:w="8373" w:type="dxa"/>
          </w:tcPr>
          <w:p w:rsidR="00F85C99" w:rsidRPr="002F6A28" w:rsidP="002F6A28" w14:paraId="568D02E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industrial batteries with a capacity greater than 2 kWh, except those with exclusively external storage, electric vehicle batteries, Starting, lighting and ignition batteries (SLI batteries), light means of transport batteries (LMT batteries), regardless of their shape, volume, weight, design, material composition, chemistry, use or purpose</w:t>
            </w:r>
          </w:p>
        </w:tc>
      </w:tr>
      <w:tr w14:paraId="5E728DA4" w14:textId="77777777" w:rsidTr="00DB13FE">
        <w:tblPrEx>
          <w:tblW w:w="5000" w:type="pct"/>
          <w:tblLayout w:type="fixed"/>
          <w:tblLook w:val="0000"/>
        </w:tblPrEx>
        <w:tc>
          <w:tcPr>
            <w:tcW w:w="607" w:type="dxa"/>
          </w:tcPr>
          <w:p w:rsidR="00F85C99" w:rsidRPr="002F6A28" w:rsidP="002F6A28" w14:paraId="033175BA" w14:textId="77777777">
            <w:pPr>
              <w:spacing w:before="120" w:after="120"/>
              <w:jc w:val="left"/>
            </w:pPr>
            <w:r w:rsidRPr="002F6A28">
              <w:rPr>
                <w:b/>
              </w:rPr>
              <w:t>5.</w:t>
            </w:r>
          </w:p>
        </w:tc>
        <w:tc>
          <w:tcPr>
            <w:tcW w:w="8373" w:type="dxa"/>
          </w:tcPr>
          <w:p w:rsidR="00F85C99" w:rsidP="002F6A28" w14:paraId="1B7E1E8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Delegated Regulation supplementing Regulation (EU) 2023/1542 of the European Parliament and of the Council by establishing the methodology for the calculation and verification of cobalt, nickel, lithium and lead recycled content in certain batteries, and the format for the documentation of such recycled content; (5 page(s), in English), (15 page(s), in English)</w:t>
            </w:r>
          </w:p>
          <w:p w:rsidR="000C3B6C" w:rsidRPr="000C3B6C" w:rsidP="002F6A28" w14:paraId="50664FED"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7592D" w:rsidRPr="00CE6C29" w:rsidP="002F6A28" w14:paraId="001525FF" w14:textId="77777777">
            <w:pPr>
              <w:pBdr>
                <w:top w:val="none" w:sz="0" w:space="4" w:color="auto"/>
              </w:pBdr>
              <w:rPr>
                <w:iCs/>
              </w:rPr>
            </w:pPr>
            <w:hyperlink r:id="rId8" w:tgtFrame="_blank" w:history="1">
              <w:r w:rsidRPr="00CE6C29">
                <w:rPr>
                  <w:iCs/>
                  <w:color w:val="0000FF"/>
                  <w:u w:val="single"/>
                </w:rPr>
                <w:t>https://members.wto.org/crnattachments/2026/TBT/EEC/26_04238_00_e.pdf</w:t>
              </w:r>
            </w:hyperlink>
          </w:p>
          <w:p w:rsidR="0017592D" w:rsidRPr="00CE6C29" w:rsidP="002F6A28" w14:paraId="465F5485" w14:textId="77777777">
            <w:pPr>
              <w:pBdr>
                <w:bottom w:val="none" w:sz="0" w:space="4" w:color="auto"/>
              </w:pBdr>
              <w:rPr>
                <w:iCs/>
              </w:rPr>
            </w:pPr>
            <w:hyperlink r:id="rId9" w:tgtFrame="_blank" w:history="1">
              <w:r w:rsidRPr="00CE6C29">
                <w:rPr>
                  <w:iCs/>
                  <w:color w:val="0000FF"/>
                  <w:u w:val="single"/>
                </w:rPr>
                <w:t>https://members.wto.org/crnattachments/2026/TBT/EEC/26_04238_01_e.pdf</w:t>
              </w:r>
            </w:hyperlink>
          </w:p>
          <w:p w:rsidR="0017592D" w:rsidRPr="00F8432F" w:rsidP="002F6A28" w14:paraId="523A4497" w14:textId="77777777">
            <w:pPr>
              <w:rPr>
                <w:iCs/>
                <w:lang w:val="fr-CH"/>
              </w:rPr>
            </w:pPr>
            <w:r w:rsidRPr="00F8432F">
              <w:rPr>
                <w:iCs/>
                <w:lang w:val="fr-CH"/>
              </w:rPr>
              <w:t>European Commission</w:t>
            </w:r>
          </w:p>
          <w:p w:rsidR="0017592D" w:rsidRPr="00F8432F" w:rsidP="002F6A28" w14:paraId="206626E7" w14:textId="77777777">
            <w:pPr>
              <w:rPr>
                <w:iCs/>
                <w:lang w:val="fr-CH"/>
              </w:rPr>
            </w:pPr>
            <w:r w:rsidRPr="00F8432F">
              <w:rPr>
                <w:iCs/>
                <w:lang w:val="fr-CH"/>
              </w:rPr>
              <w:t>EU-TBT Enquiry Point</w:t>
            </w:r>
          </w:p>
          <w:p w:rsidR="0017592D" w:rsidRPr="00AE4B26" w:rsidP="002F6A28" w14:paraId="09EF41CA" w14:textId="77777777">
            <w:pPr>
              <w:rPr>
                <w:iCs/>
                <w:lang w:val="pt-BR"/>
              </w:rPr>
            </w:pPr>
            <w:r w:rsidRPr="00AE4B26">
              <w:rPr>
                <w:iCs/>
                <w:lang w:val="pt-BR"/>
              </w:rPr>
              <w:t>Fax: + (32) 2 299 80 43</w:t>
            </w:r>
          </w:p>
          <w:p w:rsidR="0017592D" w:rsidRPr="00AE4B26" w:rsidP="002F6A28" w14:paraId="3ABB9C01" w14:textId="77777777">
            <w:pPr>
              <w:rPr>
                <w:iCs/>
                <w:lang w:val="pt-BR"/>
              </w:rPr>
            </w:pPr>
            <w:r w:rsidRPr="00AE4B26">
              <w:rPr>
                <w:iCs/>
                <w:lang w:val="pt-BR"/>
              </w:rPr>
              <w:t xml:space="preserve">E-mail: </w:t>
            </w:r>
            <w:hyperlink r:id="rId6" w:history="1">
              <w:r w:rsidRPr="00AE4B26">
                <w:rPr>
                  <w:iCs/>
                  <w:color w:val="0000FF"/>
                  <w:u w:val="single"/>
                  <w:lang w:val="pt-BR"/>
                </w:rPr>
                <w:t>grow-eu-tbt@ec.europa.eu</w:t>
              </w:r>
            </w:hyperlink>
          </w:p>
          <w:p w:rsidR="0017592D" w:rsidRPr="00CE6C29" w:rsidP="002F6A28" w14:paraId="4A5C9FFD"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675CB014" w14:textId="77777777" w:rsidTr="00DB13FE">
        <w:tblPrEx>
          <w:tblW w:w="5000" w:type="pct"/>
          <w:tblLayout w:type="fixed"/>
          <w:tblLook w:val="0000"/>
        </w:tblPrEx>
        <w:tc>
          <w:tcPr>
            <w:tcW w:w="607" w:type="dxa"/>
          </w:tcPr>
          <w:p w:rsidR="00F85C99" w:rsidRPr="002F6A28" w:rsidP="002F6A28" w14:paraId="6BB0B986" w14:textId="77777777">
            <w:pPr>
              <w:spacing w:before="120" w:after="120"/>
              <w:jc w:val="left"/>
              <w:rPr>
                <w:b/>
              </w:rPr>
            </w:pPr>
            <w:r w:rsidRPr="002F6A28">
              <w:rPr>
                <w:b/>
              </w:rPr>
              <w:t>6.</w:t>
            </w:r>
          </w:p>
        </w:tc>
        <w:tc>
          <w:tcPr>
            <w:tcW w:w="8373" w:type="dxa"/>
          </w:tcPr>
          <w:p w:rsidR="00F85C99" w:rsidRPr="002F6A28" w:rsidP="002F6A28" w14:paraId="75CA2790" w14:textId="77777777">
            <w:pPr>
              <w:spacing w:before="120" w:after="120"/>
              <w:rPr>
                <w:b/>
              </w:rPr>
            </w:pPr>
            <w:r w:rsidRPr="002F6A28">
              <w:rPr>
                <w:b/>
              </w:rPr>
              <w:t>Description of content:</w:t>
            </w:r>
            <w:r w:rsidRPr="00C379C8" w:rsidR="00FE448B">
              <w:t xml:space="preserve"> This draft Commission Delegated regulation is specifying how the recycled content of lithium, nickel, cobalt and lead shall be calculated and verified in relation to the requirements and minimum shares of recycled content in industrial, electric vehicle, SLI and LMT batteries set out in article 8 of the Batteries Regulation.</w:t>
            </w:r>
          </w:p>
        </w:tc>
      </w:tr>
      <w:tr w14:paraId="2145F94D" w14:textId="77777777" w:rsidTr="00DB13FE">
        <w:tblPrEx>
          <w:tblW w:w="5000" w:type="pct"/>
          <w:tblLayout w:type="fixed"/>
          <w:tblLook w:val="0000"/>
        </w:tblPrEx>
        <w:tc>
          <w:tcPr>
            <w:tcW w:w="607" w:type="dxa"/>
          </w:tcPr>
          <w:p w:rsidR="00F85C99" w:rsidRPr="002F6A28" w:rsidP="00AE4B26" w14:paraId="69DBD757" w14:textId="77777777">
            <w:pPr>
              <w:keepNext/>
              <w:spacing w:before="120" w:after="120"/>
              <w:jc w:val="left"/>
              <w:rPr>
                <w:b/>
              </w:rPr>
            </w:pPr>
            <w:r w:rsidRPr="002F6A28">
              <w:rPr>
                <w:b/>
              </w:rPr>
              <w:t>7.</w:t>
            </w:r>
          </w:p>
        </w:tc>
        <w:tc>
          <w:tcPr>
            <w:tcW w:w="8373" w:type="dxa"/>
          </w:tcPr>
          <w:p w:rsidR="00F85C99" w:rsidRPr="002F6A28" w:rsidP="00AE4B26" w14:paraId="31E109E9" w14:textId="77777777">
            <w:pPr>
              <w:keepNext/>
              <w:spacing w:before="120" w:after="120"/>
              <w:rPr>
                <w:b/>
              </w:rPr>
            </w:pPr>
            <w:r w:rsidRPr="002F6A28">
              <w:rPr>
                <w:b/>
              </w:rPr>
              <w:t>Objective and rationale, including the nature of urgent problems where applicable:</w:t>
            </w:r>
            <w:r w:rsidRPr="00C379C8" w:rsidR="00EE3A11">
              <w:t xml:space="preserve"> Batteries are an important source of energy and one of the key enablers for sustainable development, green mobility, clean energy and climate neutrality. In order for the EU's product policies to contribute to these objectives, it needs to be ensured that batteries marketed and sold in the Union are sourced and manufactured in a sustainable manner. Addressing the entire life cycle of batteries placed on the EU market requires the setting up of harmonised product and marketing requirements, including requirements for the recycled content. Ensuring high rates of recycled content addresses the fact that the use of minerals and metals for batteries has large environmental impacts along the life cycle of batteries and are necessary to ensure that the Union's objective to protect the environment and human health by preventing and reducing the adverse impacts of the generation and management of waste batteries is achieved. Protection of the environment; Protection of human health or safety; Protection of human health or safety; Protection of the environment</w:t>
            </w:r>
          </w:p>
        </w:tc>
      </w:tr>
      <w:tr w14:paraId="72295902" w14:textId="77777777" w:rsidTr="00DB13FE">
        <w:tblPrEx>
          <w:tblW w:w="5000" w:type="pct"/>
          <w:tblLayout w:type="fixed"/>
          <w:tblLook w:val="0000"/>
        </w:tblPrEx>
        <w:tc>
          <w:tcPr>
            <w:tcW w:w="607" w:type="dxa"/>
          </w:tcPr>
          <w:p w:rsidR="00F85C99" w:rsidRPr="002F6A28" w:rsidP="009E75ED" w14:paraId="1479C7A8" w14:textId="77777777">
            <w:pPr>
              <w:spacing w:before="120" w:after="120"/>
              <w:jc w:val="left"/>
              <w:rPr>
                <w:b/>
              </w:rPr>
            </w:pPr>
            <w:r w:rsidRPr="002F6A28">
              <w:rPr>
                <w:b/>
              </w:rPr>
              <w:t>8.</w:t>
            </w:r>
          </w:p>
        </w:tc>
        <w:tc>
          <w:tcPr>
            <w:tcW w:w="8373" w:type="dxa"/>
          </w:tcPr>
          <w:p w:rsidR="000C3B6C" w:rsidRPr="00EC00D2" w:rsidP="007F13E8" w14:paraId="1EED32DA" w14:textId="77777777">
            <w:pPr>
              <w:spacing w:before="120" w:after="120"/>
              <w:rPr>
                <w:bCs/>
              </w:rPr>
            </w:pPr>
            <w:r w:rsidRPr="002F6A28">
              <w:rPr>
                <w:b/>
              </w:rPr>
              <w:t>Relevant documents:</w:t>
            </w:r>
            <w:r w:rsidRPr="002F6A28" w:rsidR="00EE3A11">
              <w:t xml:space="preserve"> </w:t>
            </w:r>
          </w:p>
          <w:p w:rsidR="00EE3A11" w:rsidRPr="002F6A28" w:rsidP="007F13E8" w14:paraId="0CC49F3A" w14:textId="77777777">
            <w:pPr>
              <w:spacing w:before="120" w:after="120"/>
            </w:pPr>
            <w:r w:rsidRPr="002F6A28">
              <w:t>Regulation (EU) 2023/1542 of the European Parliament and of the Council of 12 July 2023 concerning batteries and waste batteries, amending Directive 2008/98/EC and Regulation (EU) 2019/1020 and repealing Directive 2006/66/EC</w:t>
            </w:r>
          </w:p>
          <w:p w:rsidR="00EE3A11" w:rsidRPr="002F6A28" w:rsidP="007F13E8" w14:paraId="6E1D393A" w14:textId="77777777">
            <w:pPr>
              <w:spacing w:before="120" w:after="120"/>
            </w:pPr>
            <w:hyperlink r:id="rId10" w:history="1">
              <w:r w:rsidRPr="002F6A28">
                <w:rPr>
                  <w:color w:val="0000FF"/>
                  <w:u w:val="single"/>
                </w:rPr>
                <w:t>https://eur-lex.europa.eu/legal-content/EN/TXT/?uri=celex%3A32023R1542</w:t>
              </w:r>
            </w:hyperlink>
          </w:p>
        </w:tc>
      </w:tr>
      <w:tr w14:paraId="57B119FB" w14:textId="77777777" w:rsidTr="00DB13FE">
        <w:tblPrEx>
          <w:tblW w:w="5000" w:type="pct"/>
          <w:tblLayout w:type="fixed"/>
          <w:tblLook w:val="0000"/>
        </w:tblPrEx>
        <w:tc>
          <w:tcPr>
            <w:tcW w:w="607" w:type="dxa"/>
          </w:tcPr>
          <w:p w:rsidR="00EE3A11" w:rsidRPr="002F6A28" w:rsidP="002F6A28" w14:paraId="37489425" w14:textId="77777777">
            <w:pPr>
              <w:spacing w:before="120" w:after="120"/>
              <w:jc w:val="left"/>
              <w:rPr>
                <w:b/>
              </w:rPr>
            </w:pPr>
            <w:r w:rsidRPr="002F6A28">
              <w:rPr>
                <w:b/>
              </w:rPr>
              <w:t>9.</w:t>
            </w:r>
          </w:p>
        </w:tc>
        <w:tc>
          <w:tcPr>
            <w:tcW w:w="8373" w:type="dxa"/>
          </w:tcPr>
          <w:p w:rsidR="00EE3A11" w:rsidRPr="002F6A28" w:rsidP="008953C4" w14:paraId="76681100" w14:textId="77777777">
            <w:pPr>
              <w:spacing w:before="120" w:after="120"/>
            </w:pPr>
            <w:r w:rsidRPr="002F6A28">
              <w:rPr>
                <w:b/>
              </w:rPr>
              <w:t>Proposed date of adoption:</w:t>
            </w:r>
            <w:r w:rsidRPr="00C379C8">
              <w:t xml:space="preserve"> October 2026</w:t>
            </w:r>
          </w:p>
          <w:p w:rsidR="00EE3A11" w:rsidRPr="002F6A28" w:rsidP="008953C4" w14:paraId="11612ABC" w14:textId="77777777">
            <w:pPr>
              <w:spacing w:after="120"/>
            </w:pPr>
            <w:r w:rsidRPr="002F6A28">
              <w:rPr>
                <w:b/>
              </w:rPr>
              <w:t>Proposed date of entry into force:</w:t>
            </w:r>
            <w:r w:rsidRPr="00C379C8">
              <w:t xml:space="preserve"> </w:t>
            </w:r>
            <w:r w:rsidRPr="00C379C8">
              <w:t>20 days from publication in the Official Journal of the EU (about four months after adoption approximately)</w:t>
            </w:r>
          </w:p>
        </w:tc>
      </w:tr>
      <w:tr w14:paraId="20E1573E" w14:textId="77777777" w:rsidTr="00DB13FE">
        <w:tblPrEx>
          <w:tblW w:w="5000" w:type="pct"/>
          <w:tblLayout w:type="fixed"/>
          <w:tblLook w:val="0000"/>
        </w:tblPrEx>
        <w:tc>
          <w:tcPr>
            <w:tcW w:w="607" w:type="dxa"/>
            <w:tcBorders>
              <w:bottom w:val="double" w:sz="4" w:space="0" w:color="auto"/>
            </w:tcBorders>
          </w:tcPr>
          <w:p w:rsidR="00F85C99" w:rsidRPr="002F6A28" w:rsidP="002F6A28" w14:paraId="403E880D"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39F63AB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636FF61" w14:textId="77777777">
            <w:pPr>
              <w:spacing w:before="120" w:after="120"/>
              <w:rPr>
                <w:bCs/>
              </w:rPr>
            </w:pPr>
            <w:r w:rsidRPr="002F6A28">
              <w:rPr>
                <w:b/>
              </w:rPr>
              <w:t>Final date for comments:</w:t>
            </w:r>
            <w:r w:rsidRPr="00C379C8" w:rsidR="00EE3A11">
              <w:t xml:space="preserve"> 13 October 2026</w:t>
            </w:r>
          </w:p>
          <w:p w:rsidR="000C3B6C" w:rsidRPr="00E3324D" w:rsidP="000C3B6C" w14:paraId="76F00CF8"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722E7309"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F8432F" w:rsidP="000C3B6C" w14:paraId="7B0024AA" w14:textId="77777777">
            <w:pPr>
              <w:rPr>
                <w:lang w:val="fr-CH"/>
              </w:rPr>
            </w:pPr>
            <w:r w:rsidRPr="00F8432F">
              <w:rPr>
                <w:lang w:val="fr-CH"/>
              </w:rPr>
              <w:t>European Commission,</w:t>
            </w:r>
          </w:p>
          <w:p w:rsidR="00CE6C29" w:rsidRPr="00F8432F" w:rsidP="000C3B6C" w14:paraId="4F8B8C76" w14:textId="77777777">
            <w:pPr>
              <w:rPr>
                <w:lang w:val="fr-CH"/>
              </w:rPr>
            </w:pPr>
            <w:r w:rsidRPr="00F8432F">
              <w:rPr>
                <w:lang w:val="fr-CH"/>
              </w:rPr>
              <w:t>EU-TBT Enquiry Point,</w:t>
            </w:r>
          </w:p>
          <w:p w:rsidR="00CE6C29" w:rsidRPr="00AE4B26" w:rsidP="000C3B6C" w14:paraId="37986AB4" w14:textId="77777777">
            <w:pPr>
              <w:rPr>
                <w:lang w:val="pt-BR"/>
              </w:rPr>
            </w:pPr>
            <w:r w:rsidRPr="00AE4B26">
              <w:rPr>
                <w:lang w:val="pt-BR"/>
              </w:rPr>
              <w:t>Fax: + (32) 2 299 80 43,</w:t>
            </w:r>
          </w:p>
          <w:p w:rsidR="00CE6C29" w:rsidRPr="00AE4B26" w:rsidP="000C3B6C" w14:paraId="6D423B14" w14:textId="77777777">
            <w:pPr>
              <w:spacing w:after="120"/>
              <w:rPr>
                <w:lang w:val="pt-BR"/>
              </w:rPr>
            </w:pPr>
            <w:r w:rsidRPr="00AE4B26">
              <w:rPr>
                <w:lang w:val="pt-BR"/>
              </w:rPr>
              <w:t xml:space="preserve">E-mail: </w:t>
            </w:r>
            <w:hyperlink r:id="rId6" w:history="1">
              <w:r w:rsidRPr="00AE4B26">
                <w:rPr>
                  <w:color w:val="0000FF"/>
                  <w:u w:val="single"/>
                  <w:lang w:val="pt-BR"/>
                </w:rPr>
                <w:t>grow-eu-tbt@ec.europa.eu</w:t>
              </w:r>
            </w:hyperlink>
          </w:p>
        </w:tc>
      </w:tr>
    </w:tbl>
    <w:p w:rsidR="00EE3A11" w:rsidRPr="00AE4B26" w:rsidP="00887259" w14:paraId="7FDCAB6E" w14:textId="77777777">
      <w:pPr>
        <w:jc w:val="center"/>
        <w:rPr>
          <w:lang w:val="pt-BR"/>
        </w:rP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05C40E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CB7903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DAD5FC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F1C95FE" w14:textId="77777777">
    <w:pPr>
      <w:pStyle w:val="Header"/>
      <w:pBdr>
        <w:bottom w:val="single" w:sz="4" w:space="1" w:color="auto"/>
      </w:pBdr>
      <w:tabs>
        <w:tab w:val="clear" w:pos="4513"/>
        <w:tab w:val="clear" w:pos="9027"/>
      </w:tabs>
      <w:jc w:val="center"/>
    </w:pPr>
    <w:r w:rsidRPr="002F6A28">
      <w:t>tbtSymbol</w:t>
    </w:r>
  </w:p>
  <w:p w:rsidR="009239F7" w:rsidRPr="002F6A28" w:rsidP="009239F7" w14:paraId="06B32857" w14:textId="77777777">
    <w:pPr>
      <w:pStyle w:val="Header"/>
      <w:pBdr>
        <w:bottom w:val="single" w:sz="4" w:space="1" w:color="auto"/>
      </w:pBdr>
      <w:tabs>
        <w:tab w:val="clear" w:pos="4513"/>
        <w:tab w:val="clear" w:pos="9027"/>
      </w:tabs>
      <w:jc w:val="center"/>
    </w:pPr>
  </w:p>
  <w:p w:rsidR="009239F7" w:rsidRPr="002F6A28" w:rsidP="009239F7" w14:paraId="221F36D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287E0E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86D767C" w14:textId="77777777">
    <w:pPr>
      <w:pStyle w:val="Header"/>
      <w:pBdr>
        <w:bottom w:val="single" w:sz="4" w:space="1" w:color="auto"/>
      </w:pBdr>
      <w:tabs>
        <w:tab w:val="clear" w:pos="4513"/>
        <w:tab w:val="clear" w:pos="9027"/>
      </w:tabs>
      <w:jc w:val="center"/>
    </w:pPr>
    <w:bookmarkStart w:id="0" w:name="spsSymbolHeader"/>
    <w:r w:rsidRPr="002F6A28">
      <w:t>G/TBT/N/EU/1233</w:t>
    </w:r>
    <w:bookmarkEnd w:id="0"/>
  </w:p>
  <w:p w:rsidR="009239F7" w:rsidRPr="002F6A28" w:rsidP="009239F7" w14:paraId="4A674FBC" w14:textId="77777777">
    <w:pPr>
      <w:pStyle w:val="Header"/>
      <w:pBdr>
        <w:bottom w:val="single" w:sz="4" w:space="1" w:color="auto"/>
      </w:pBdr>
      <w:tabs>
        <w:tab w:val="clear" w:pos="4513"/>
        <w:tab w:val="clear" w:pos="9027"/>
      </w:tabs>
      <w:jc w:val="center"/>
    </w:pPr>
  </w:p>
  <w:p w:rsidR="009239F7" w:rsidRPr="002F6A28" w:rsidP="009239F7" w14:paraId="786AAD3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F8439F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6871FC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695A6E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6305058" w14:textId="77777777">
          <w:pPr>
            <w:jc w:val="right"/>
            <w:rPr>
              <w:b/>
              <w:color w:val="FF0000"/>
              <w:szCs w:val="16"/>
            </w:rPr>
          </w:pPr>
        </w:p>
      </w:tc>
    </w:tr>
    <w:bookmarkEnd w:id="1"/>
    <w:tr w14:paraId="3476449B"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8DBE18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667BACD" w14:textId="77777777">
          <w:pPr>
            <w:jc w:val="right"/>
            <w:rPr>
              <w:b/>
              <w:szCs w:val="16"/>
            </w:rPr>
          </w:pPr>
        </w:p>
      </w:tc>
    </w:tr>
    <w:tr w14:paraId="6445788E"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832CAF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FA26691" w14:textId="77777777">
          <w:pPr>
            <w:jc w:val="right"/>
            <w:rPr>
              <w:b/>
              <w:szCs w:val="16"/>
            </w:rPr>
          </w:pPr>
          <w:bookmarkStart w:id="2" w:name="bmkSymbols"/>
          <w:r w:rsidRPr="002F6A28">
            <w:rPr>
              <w:b/>
              <w:szCs w:val="16"/>
            </w:rPr>
            <w:t>G/TBT/N/EU/1233</w:t>
          </w:r>
          <w:bookmarkEnd w:id="2"/>
        </w:p>
      </w:tc>
    </w:tr>
    <w:tr w14:paraId="1E5D16A2"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82EBC0C" w14:textId="77777777"/>
      </w:tc>
      <w:tc>
        <w:tcPr>
          <w:tcW w:w="5448" w:type="dxa"/>
          <w:gridSpan w:val="2"/>
          <w:shd w:val="clear" w:color="auto" w:fill="FFFFFF"/>
          <w:tcMar>
            <w:left w:w="108" w:type="dxa"/>
            <w:right w:w="108" w:type="dxa"/>
          </w:tcMar>
          <w:vAlign w:val="center"/>
        </w:tcPr>
        <w:p w:rsidR="00ED54E0" w:rsidRPr="009239F7" w:rsidP="00B801E9" w14:paraId="13F0F7BF" w14:textId="77777777">
          <w:pPr>
            <w:jc w:val="right"/>
            <w:rPr>
              <w:szCs w:val="16"/>
            </w:rPr>
          </w:pPr>
          <w:bookmarkStart w:id="3" w:name="spsDateDistribution"/>
          <w:bookmarkStart w:id="4" w:name="bmkDate"/>
          <w:r w:rsidRPr="009239F7">
            <w:rPr>
              <w:szCs w:val="16"/>
            </w:rPr>
            <w:t>14 August 2026</w:t>
          </w:r>
          <w:bookmarkEnd w:id="3"/>
          <w:bookmarkEnd w:id="4"/>
        </w:p>
      </w:tc>
    </w:tr>
    <w:tr w14:paraId="6BDAD0CA"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439F9D3" w14:textId="77777777">
          <w:pPr>
            <w:jc w:val="left"/>
            <w:rPr>
              <w:b/>
            </w:rPr>
          </w:pPr>
          <w:bookmarkStart w:id="5" w:name="bmkSerial"/>
          <w:r>
            <w:rPr>
              <w:rFonts w:ascii="Verdana" w:eastAsia="Verdana" w:hAnsi="Verdana" w:cs="Verdana"/>
              <w:b w:val="0"/>
              <w:color w:val="FF0000"/>
              <w:sz w:val="18"/>
            </w:rPr>
            <w:t>(26-5741)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F31FD9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35BAF1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4488B91D"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C325E6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2F57F45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8175767">
    <w:abstractNumId w:val="9"/>
  </w:num>
  <w:num w:numId="2" w16cid:durableId="1376000145">
    <w:abstractNumId w:val="7"/>
  </w:num>
  <w:num w:numId="3" w16cid:durableId="403141926">
    <w:abstractNumId w:val="6"/>
  </w:num>
  <w:num w:numId="4" w16cid:durableId="947394791">
    <w:abstractNumId w:val="5"/>
  </w:num>
  <w:num w:numId="5" w16cid:durableId="1903591235">
    <w:abstractNumId w:val="4"/>
  </w:num>
  <w:num w:numId="6" w16cid:durableId="1598102926">
    <w:abstractNumId w:val="12"/>
  </w:num>
  <w:num w:numId="7" w16cid:durableId="2059744613">
    <w:abstractNumId w:val="11"/>
  </w:num>
  <w:num w:numId="8" w16cid:durableId="252707379">
    <w:abstractNumId w:val="10"/>
  </w:num>
  <w:num w:numId="9" w16cid:durableId="8508770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6325405">
    <w:abstractNumId w:val="13"/>
  </w:num>
  <w:num w:numId="11" w16cid:durableId="580335371">
    <w:abstractNumId w:val="8"/>
  </w:num>
  <w:num w:numId="12" w16cid:durableId="354231314">
    <w:abstractNumId w:val="3"/>
  </w:num>
  <w:num w:numId="13" w16cid:durableId="1970627522">
    <w:abstractNumId w:val="2"/>
  </w:num>
  <w:num w:numId="14" w16cid:durableId="2113934857">
    <w:abstractNumId w:val="1"/>
  </w:num>
  <w:num w:numId="15" w16cid:durableId="1325160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0E2AAF"/>
    <w:rsid w:val="0011356B"/>
    <w:rsid w:val="001157E9"/>
    <w:rsid w:val="001206E6"/>
    <w:rsid w:val="00125032"/>
    <w:rsid w:val="0013337F"/>
    <w:rsid w:val="00147DF9"/>
    <w:rsid w:val="00153339"/>
    <w:rsid w:val="00155128"/>
    <w:rsid w:val="001621F4"/>
    <w:rsid w:val="0017592D"/>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6756D"/>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3C95"/>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0943"/>
    <w:rsid w:val="00AC27F8"/>
    <w:rsid w:val="00AC6C6E"/>
    <w:rsid w:val="00AD3A28"/>
    <w:rsid w:val="00AD4C72"/>
    <w:rsid w:val="00AE118B"/>
    <w:rsid w:val="00AE2372"/>
    <w:rsid w:val="00AE2AEE"/>
    <w:rsid w:val="00AE4B26"/>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52444"/>
    <w:rsid w:val="00F650F7"/>
    <w:rsid w:val="00F8432F"/>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5E187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legal-content/EN/TXT/?uri=celex%3A32023R1542"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6/TBT/EEC/26_04238_00_e.pdf" TargetMode="External" /><Relationship Id="rId9" Type="http://schemas.openxmlformats.org/officeDocument/2006/relationships/hyperlink" Target="https://members.wto.org/crnattachments/2026/TBT/EEC/26_04238_01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eyJucyI6Imh0dHA6XC9cL3d3dy50aXR1cy5jb21cL25zXC9Xb3JsZCBUcmFkZSBPcmdhbml6YXRpb24iLCJwcm9wcyI6W3sibiI6IldUT0NMQVNTSUZJQ0FUSU9OIiwidmFscyI6W3sidmFsdWUiOiJQVUJMSUMifV19XX0=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BEFD4B-E6FB-4A5C-8EA7-B273D4374021}">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711</Words>
  <Characters>4057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Carter-Johnson, Victoria</cp:lastModifiedBy>
  <cp:revision>3</cp:revision>
  <dcterms:created xsi:type="dcterms:W3CDTF">2026-08-14T07:27:00Z</dcterms:created>
  <dcterms:modified xsi:type="dcterms:W3CDTF">2026-08-14T07:38:00Z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PUBLIC</vt:lpwstr>
  </property>
</Properties>
</file>