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6B61" w14:textId="77777777" w:rsidR="009239F7" w:rsidRPr="002F6A28" w:rsidRDefault="00723EB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9904081" w14:textId="77777777" w:rsidR="009239F7" w:rsidRPr="002F6A28" w:rsidRDefault="00723EB8" w:rsidP="002F6A28">
      <w:pPr>
        <w:jc w:val="center"/>
      </w:pPr>
      <w:r w:rsidRPr="002F6A28">
        <w:t>The following notification is being circulated in accordance with Article 10.6</w:t>
      </w:r>
    </w:p>
    <w:p w14:paraId="3E076DA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432B" w14:paraId="75A454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0682E0" w14:textId="77777777" w:rsidR="00F85C99" w:rsidRPr="002F6A28" w:rsidRDefault="00723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AD791BC" w14:textId="77777777" w:rsidR="00F85C99" w:rsidRPr="002F6A28" w:rsidRDefault="00723EB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5AFEA247" w14:textId="77777777" w:rsidR="00F85C99" w:rsidRPr="002F6A28" w:rsidRDefault="00723EB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16432B" w14:paraId="7A26E8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9F8F5" w14:textId="77777777" w:rsidR="00F85C99" w:rsidRPr="002F6A28" w:rsidRDefault="00723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095A8" w14:textId="77777777" w:rsidR="00F85C99" w:rsidRPr="002F6A28" w:rsidRDefault="00723EB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EDA593F" w14:textId="77777777" w:rsidR="00EE3A11" w:rsidRPr="00C379C8" w:rsidRDefault="00723EB8" w:rsidP="00155128">
            <w:pPr>
              <w:spacing w:after="120"/>
            </w:pPr>
            <w:r w:rsidRPr="00C379C8">
              <w:t>European Commission</w:t>
            </w:r>
          </w:p>
          <w:p w14:paraId="299EB29C" w14:textId="77777777" w:rsidR="00F85C99" w:rsidRPr="002F6A28" w:rsidRDefault="00723EB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836D3A7" w14:textId="77777777" w:rsidR="00AC6C6E" w:rsidRPr="001D68D7" w:rsidRDefault="00723EB8" w:rsidP="00AA646C">
            <w:pPr>
              <w:rPr>
                <w:lang w:val="fr-FR"/>
              </w:rPr>
            </w:pPr>
            <w:r w:rsidRPr="001D68D7">
              <w:rPr>
                <w:lang w:val="fr-FR"/>
              </w:rPr>
              <w:t>European Commission,</w:t>
            </w:r>
          </w:p>
          <w:p w14:paraId="7A62845B" w14:textId="77777777" w:rsidR="00AC6C6E" w:rsidRPr="001D68D7" w:rsidRDefault="00723EB8" w:rsidP="00AA646C">
            <w:pPr>
              <w:rPr>
                <w:lang w:val="fr-FR"/>
              </w:rPr>
            </w:pPr>
            <w:r w:rsidRPr="001D68D7">
              <w:rPr>
                <w:lang w:val="fr-FR"/>
              </w:rPr>
              <w:t>EU-TBT Enquiry Point,</w:t>
            </w:r>
          </w:p>
          <w:p w14:paraId="307C9D55" w14:textId="77777777" w:rsidR="00AC6C6E" w:rsidRPr="001D68D7" w:rsidRDefault="00723EB8" w:rsidP="00AA646C">
            <w:pPr>
              <w:rPr>
                <w:lang w:val="fr-FR"/>
              </w:rPr>
            </w:pPr>
            <w:r w:rsidRPr="001D68D7">
              <w:rPr>
                <w:lang w:val="fr-FR"/>
              </w:rPr>
              <w:t>Fax: +(32) 2 299 80 43,</w:t>
            </w:r>
          </w:p>
          <w:p w14:paraId="37AC8C8A" w14:textId="77777777" w:rsidR="00AC6C6E" w:rsidRPr="001D68D7" w:rsidRDefault="00723EB8" w:rsidP="00AA646C">
            <w:pPr>
              <w:rPr>
                <w:lang w:val="fr-FR"/>
              </w:rPr>
            </w:pPr>
            <w:r w:rsidRPr="001D68D7">
              <w:rPr>
                <w:lang w:val="fr-FR"/>
              </w:rPr>
              <w:t xml:space="preserve">E-mail: </w:t>
            </w:r>
            <w:r w:rsidR="00D368C4">
              <w:fldChar w:fldCharType="begin"/>
            </w:r>
            <w:r w:rsidR="00D368C4" w:rsidRPr="00D368C4">
              <w:rPr>
                <w:lang w:val="fr-FR"/>
              </w:rPr>
              <w:instrText>HYPERLINK "mailto:grow-eu-tbt@ec.europa.eu"</w:instrText>
            </w:r>
            <w:r w:rsidR="00D368C4">
              <w:fldChar w:fldCharType="separate"/>
            </w:r>
            <w:r w:rsidRPr="001D68D7">
              <w:rPr>
                <w:color w:val="0000FF"/>
                <w:u w:val="single"/>
                <w:lang w:val="fr-FR"/>
              </w:rPr>
              <w:t>grow-eu-tbt@ec.europa.eu</w:t>
            </w:r>
            <w:r w:rsidR="00D368C4">
              <w:rPr>
                <w:color w:val="0000FF"/>
                <w:u w:val="single"/>
                <w:lang w:val="fr-FR"/>
              </w:rPr>
              <w:fldChar w:fldCharType="end"/>
            </w:r>
          </w:p>
          <w:p w14:paraId="7198489F" w14:textId="77777777" w:rsidR="00AC6C6E" w:rsidRPr="00C379C8" w:rsidRDefault="00723EB8" w:rsidP="00AA646C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:rsidR="0016432B" w14:paraId="7C8D54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BE65C" w14:textId="77777777" w:rsidR="00F85C99" w:rsidRPr="002F6A28" w:rsidRDefault="00723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13D65" w14:textId="77777777" w:rsidR="00F85C99" w:rsidRPr="0058336F" w:rsidRDefault="00723EB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16432B" w14:paraId="597AA5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EB3C4" w14:textId="77777777" w:rsidR="00F85C99" w:rsidRPr="002F6A28" w:rsidRDefault="00723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34AD4" w14:textId="77777777" w:rsidR="00F85C99" w:rsidRPr="002F6A28" w:rsidRDefault="00723EB8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Biocidal products</w:t>
            </w:r>
          </w:p>
        </w:tc>
      </w:tr>
      <w:tr w:rsidR="0016432B" w14:paraId="5845FD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A84EA" w14:textId="77777777" w:rsidR="00F85C99" w:rsidRPr="002F6A28" w:rsidRDefault="00723E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9F0C2" w14:textId="77777777" w:rsidR="00F85C99" w:rsidRPr="002F6A28" w:rsidRDefault="00723EB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Implementing Regulation approving 2,2-Dibromo-2-cyanoacetamide (</w:t>
            </w:r>
            <w:proofErr w:type="spellStart"/>
            <w:r w:rsidR="00EE3A11" w:rsidRPr="00C379C8">
              <w:t>DBNPA</w:t>
            </w:r>
            <w:proofErr w:type="spellEnd"/>
            <w:r w:rsidR="00EE3A11" w:rsidRPr="00C379C8">
              <w:t>) as an existing active substance for use in biocidal products of product-type 6 in accordance with Regulation (EU) No 528/2012 of the European Parliament and of the Council; (6 page(s), in English), (4 page(s), in English)</w:t>
            </w:r>
          </w:p>
        </w:tc>
      </w:tr>
      <w:tr w:rsidR="0016432B" w14:paraId="7C125F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E9620" w14:textId="77777777" w:rsidR="00F85C99" w:rsidRPr="002F6A28" w:rsidRDefault="00723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209C5" w14:textId="77777777" w:rsidR="00F85C99" w:rsidRPr="002F6A28" w:rsidRDefault="00723EB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Commission Implementing Regulation approves 2,2-Dibromo-2-cyanoacetamide (</w:t>
            </w:r>
            <w:proofErr w:type="spellStart"/>
            <w:r w:rsidR="00FE448B" w:rsidRPr="00C379C8">
              <w:t>DBNPA</w:t>
            </w:r>
            <w:proofErr w:type="spellEnd"/>
            <w:r w:rsidR="00FE448B" w:rsidRPr="00C379C8">
              <w:t>) as an existing active substance for use in biocidal products of product-type 6.</w:t>
            </w:r>
          </w:p>
          <w:p w14:paraId="31ED6A43" w14:textId="77777777" w:rsidR="00FE448B" w:rsidRPr="00C379C8" w:rsidRDefault="00723EB8" w:rsidP="002F6A28">
            <w:pPr>
              <w:spacing w:before="120" w:after="120"/>
            </w:pPr>
            <w:r w:rsidRPr="00C379C8">
              <w:t>The substance meets the exclusion criteria set out in Article 5(1) of the Regulation (EU) No 528/2012, but it fulfils the condition for derogation of Article 5(2)(c) of that Regulation for specific uses.</w:t>
            </w:r>
          </w:p>
        </w:tc>
      </w:tr>
      <w:tr w:rsidR="0016432B" w14:paraId="092D57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27AE0" w14:textId="77777777" w:rsidR="00F85C99" w:rsidRPr="002F6A28" w:rsidRDefault="00723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0D08B" w14:textId="77777777" w:rsidR="00F85C99" w:rsidRPr="002F6A28" w:rsidRDefault="00723EB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Harmonisation of the EU market on biocidal products.; Protection of human health or safety; Protection of the environment</w:t>
            </w:r>
          </w:p>
        </w:tc>
      </w:tr>
      <w:tr w:rsidR="0016432B" w:rsidRPr="00D368C4" w14:paraId="777EDA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A6FDA" w14:textId="77777777" w:rsidR="00F85C99" w:rsidRPr="002F6A28" w:rsidRDefault="00723EB8" w:rsidP="00723EB8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1B9FE" w14:textId="77777777" w:rsidR="00086AF5" w:rsidRPr="00086AF5" w:rsidRDefault="00723EB8" w:rsidP="00723EB8">
            <w:pPr>
              <w:keepNext/>
              <w:keepLines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FE8F6CE" w14:textId="77777777" w:rsidR="00EE3A11" w:rsidRPr="001D68D7" w:rsidRDefault="00723EB8" w:rsidP="00723EB8">
            <w:pPr>
              <w:keepNext/>
              <w:keepLines/>
              <w:spacing w:before="120" w:after="120"/>
              <w:rPr>
                <w:lang w:val="fr-FR"/>
              </w:rPr>
            </w:pPr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1D68D7">
              <w:rPr>
                <w:lang w:val="fr-FR"/>
              </w:rPr>
              <w:t>Available in all EU languages.</w:t>
            </w:r>
          </w:p>
          <w:p w14:paraId="7750F2C8" w14:textId="77777777" w:rsidR="00EE3A11" w:rsidRPr="001D68D7" w:rsidRDefault="00D368C4" w:rsidP="00723EB8">
            <w:pPr>
              <w:keepNext/>
              <w:keepLines/>
              <w:spacing w:before="120" w:after="120"/>
              <w:rPr>
                <w:lang w:val="fr-FR"/>
              </w:rPr>
            </w:pPr>
            <w:hyperlink r:id="rId9" w:history="1">
              <w:r w:rsidR="00723EB8" w:rsidRPr="001D68D7">
                <w:rPr>
                  <w:color w:val="0000FF"/>
                  <w:u w:val="single"/>
                  <w:lang w:val="fr-FR"/>
                </w:rPr>
                <w:t>EUR-Lex - 32012R0528 - EN - EUR-Lex (europa.eu)</w:t>
              </w:r>
            </w:hyperlink>
          </w:p>
        </w:tc>
      </w:tr>
      <w:tr w:rsidR="0016432B" w14:paraId="30E689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FF227" w14:textId="77777777" w:rsidR="00EE3A11" w:rsidRPr="002F6A28" w:rsidRDefault="00723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9A3CD" w14:textId="77777777" w:rsidR="00EE3A11" w:rsidRPr="002F6A28" w:rsidRDefault="00723EB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February 2025</w:t>
            </w:r>
          </w:p>
          <w:p w14:paraId="151DBCF4" w14:textId="77777777" w:rsidR="00EE3A11" w:rsidRPr="002F6A28" w:rsidRDefault="00723EB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</w:t>
            </w:r>
          </w:p>
        </w:tc>
      </w:tr>
      <w:tr w:rsidR="0016432B" w14:paraId="65FA09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56CBB" w14:textId="77777777" w:rsidR="00F85C99" w:rsidRPr="002F6A28" w:rsidRDefault="00723E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8F8B6" w14:textId="77777777" w:rsidR="00F85C99" w:rsidRPr="002F6A28" w:rsidRDefault="00723EB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16432B" w14:paraId="15033D1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43CF481" w14:textId="77777777" w:rsidR="00F85C99" w:rsidRPr="002F6A28" w:rsidRDefault="00723EB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7CD792" w14:textId="77777777" w:rsidR="00F85C99" w:rsidRPr="002F6A28" w:rsidRDefault="00723EB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D66ECA8" w14:textId="77777777" w:rsidR="00EE3A11" w:rsidRPr="001D68D7" w:rsidRDefault="00723EB8" w:rsidP="00B16145">
            <w:pPr>
              <w:keepNext/>
              <w:keepLines/>
              <w:rPr>
                <w:bCs/>
                <w:lang w:val="fr-FR"/>
              </w:rPr>
            </w:pPr>
            <w:r w:rsidRPr="001D68D7">
              <w:rPr>
                <w:bCs/>
                <w:lang w:val="fr-FR"/>
              </w:rPr>
              <w:t>European Commission,</w:t>
            </w:r>
          </w:p>
          <w:p w14:paraId="5091C32B" w14:textId="77777777" w:rsidR="00EE3A11" w:rsidRPr="001D68D7" w:rsidRDefault="00723EB8" w:rsidP="00B16145">
            <w:pPr>
              <w:keepNext/>
              <w:keepLines/>
              <w:rPr>
                <w:bCs/>
                <w:lang w:val="fr-FR"/>
              </w:rPr>
            </w:pPr>
            <w:r w:rsidRPr="001D68D7">
              <w:rPr>
                <w:bCs/>
                <w:lang w:val="fr-FR"/>
              </w:rPr>
              <w:t>EU-TBT Enquiry Point,</w:t>
            </w:r>
          </w:p>
          <w:p w14:paraId="02F9362C" w14:textId="77777777" w:rsidR="00EE3A11" w:rsidRPr="001D68D7" w:rsidRDefault="00723EB8" w:rsidP="00B16145">
            <w:pPr>
              <w:keepNext/>
              <w:keepLines/>
              <w:rPr>
                <w:bCs/>
                <w:lang w:val="fr-FR"/>
              </w:rPr>
            </w:pPr>
            <w:r w:rsidRPr="001D68D7">
              <w:rPr>
                <w:bCs/>
                <w:lang w:val="fr-FR"/>
              </w:rPr>
              <w:t>Fax: + (32) 2 299 80 43,</w:t>
            </w:r>
          </w:p>
          <w:p w14:paraId="2D9FD887" w14:textId="77777777" w:rsidR="00EE3A11" w:rsidRPr="001D68D7" w:rsidRDefault="00723EB8" w:rsidP="00B16145">
            <w:pPr>
              <w:keepNext/>
              <w:keepLines/>
              <w:rPr>
                <w:bCs/>
                <w:lang w:val="fr-FR"/>
              </w:rPr>
            </w:pPr>
            <w:r w:rsidRPr="001D68D7">
              <w:rPr>
                <w:bCs/>
                <w:lang w:val="fr-FR"/>
              </w:rPr>
              <w:t xml:space="preserve">E-mail: </w:t>
            </w:r>
            <w:hyperlink r:id="rId10" w:history="1">
              <w:r w:rsidRPr="001D68D7">
                <w:rPr>
                  <w:bCs/>
                  <w:color w:val="0000FF"/>
                  <w:u w:val="single"/>
                  <w:lang w:val="fr-FR"/>
                </w:rPr>
                <w:t>grow-eu-tbt@ec.europa.eu</w:t>
              </w:r>
            </w:hyperlink>
          </w:p>
          <w:p w14:paraId="684282C4" w14:textId="77777777" w:rsidR="00EE3A11" w:rsidRPr="00A12DDE" w:rsidRDefault="00723E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14:paraId="5A9F943C" w14:textId="77777777" w:rsidR="00EE3A11" w:rsidRPr="00A12DDE" w:rsidRDefault="00D368C4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723EB8" w:rsidRPr="00A12DDE">
                <w:rPr>
                  <w:bCs/>
                  <w:color w:val="0000FF"/>
                  <w:u w:val="single"/>
                </w:rPr>
                <w:t>https://members.wto.org/crnattachments/2024/TBT/EEC/24_08107_00_e.pdf</w:t>
              </w:r>
            </w:hyperlink>
          </w:p>
          <w:p w14:paraId="3706A561" w14:textId="77777777" w:rsidR="00EE3A11" w:rsidRPr="00A12DDE" w:rsidRDefault="00D368C4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723EB8" w:rsidRPr="00A12DDE">
                <w:rPr>
                  <w:bCs/>
                  <w:color w:val="0000FF"/>
                  <w:u w:val="single"/>
                </w:rPr>
                <w:t>https://members.wto.org/crnattachments/2024/TBT/EEC/24_08107_01_e.pdf</w:t>
              </w:r>
            </w:hyperlink>
          </w:p>
        </w:tc>
      </w:tr>
    </w:tbl>
    <w:p w14:paraId="384ADCA4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DFA7" w14:textId="77777777" w:rsidR="00723EB8" w:rsidRDefault="00723EB8">
      <w:r>
        <w:separator/>
      </w:r>
    </w:p>
  </w:endnote>
  <w:endnote w:type="continuationSeparator" w:id="0">
    <w:p w14:paraId="09F2EC5D" w14:textId="77777777" w:rsidR="00723EB8" w:rsidRDefault="0072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881B" w14:textId="77777777" w:rsidR="009239F7" w:rsidRPr="002F6A28" w:rsidRDefault="00723EB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5F39" w14:textId="77777777" w:rsidR="009239F7" w:rsidRPr="002F6A28" w:rsidRDefault="00723EB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B5B1" w14:textId="77777777" w:rsidR="00EE3A11" w:rsidRPr="002F6A28" w:rsidRDefault="00723EB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51BE" w14:textId="77777777" w:rsidR="00723EB8" w:rsidRDefault="00723EB8">
      <w:r>
        <w:separator/>
      </w:r>
    </w:p>
  </w:footnote>
  <w:footnote w:type="continuationSeparator" w:id="0">
    <w:p w14:paraId="2A253F3F" w14:textId="77777777" w:rsidR="00723EB8" w:rsidRDefault="0072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420B" w14:textId="77777777" w:rsidR="009239F7" w:rsidRPr="002F6A28" w:rsidRDefault="00723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1FF76F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849D55" w14:textId="77777777" w:rsidR="009239F7" w:rsidRPr="002F6A28" w:rsidRDefault="00723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947C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E864" w14:textId="77777777" w:rsidR="009239F7" w:rsidRPr="002F6A28" w:rsidRDefault="00723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G/TBT/N/EU/1100</w:t>
    </w:r>
    <w:bookmarkEnd w:id="0"/>
  </w:p>
  <w:p w14:paraId="1A9EF9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DD4846" w14:textId="77777777" w:rsidR="009239F7" w:rsidRPr="002F6A28" w:rsidRDefault="00723E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2A8A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432B" w14:paraId="6563297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ADDE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09C2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16432B" w14:paraId="5ACAD74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3B3F35" w14:textId="77777777" w:rsidR="00ED54E0" w:rsidRPr="009239F7" w:rsidRDefault="00723EB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A1F7AF" wp14:editId="27A7F44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10869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F4A0D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432B" w14:paraId="46ED2FF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B1BF1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FBEE2D" w14:textId="77777777" w:rsidR="009239F7" w:rsidRPr="002F6A28" w:rsidRDefault="00723EB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G/TBT/N/EU/1100</w:t>
          </w:r>
          <w:bookmarkEnd w:id="2"/>
        </w:p>
      </w:tc>
    </w:tr>
    <w:tr w:rsidR="0016432B" w14:paraId="2CE54D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567EC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AAD40" w14:textId="443475D4" w:rsidR="00ED54E0" w:rsidRPr="009239F7" w:rsidRDefault="001D68D7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 December 2024</w:t>
          </w:r>
        </w:p>
      </w:tc>
    </w:tr>
    <w:tr w:rsidR="0016432B" w14:paraId="28FEF0A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ED9F4D" w14:textId="0A39E3A5" w:rsidR="00ED54E0" w:rsidRPr="009239F7" w:rsidRDefault="00723EB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1D68D7">
            <w:rPr>
              <w:color w:val="FF0000"/>
              <w:szCs w:val="16"/>
            </w:rPr>
            <w:t>24-</w:t>
          </w:r>
          <w:r w:rsidR="00D368C4">
            <w:rPr>
              <w:color w:val="FF0000"/>
              <w:szCs w:val="16"/>
            </w:rPr>
            <w:t>8485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05363E" w14:textId="77777777" w:rsidR="00ED54E0" w:rsidRPr="009239F7" w:rsidRDefault="00723EB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16432B" w14:paraId="1E26B69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63AB9C" w14:textId="77777777" w:rsidR="00ED54E0" w:rsidRPr="009239F7" w:rsidRDefault="00723EB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BB5132" w14:textId="77777777" w:rsidR="00ED54E0" w:rsidRPr="002F6A28" w:rsidRDefault="00723EB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E38A1D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4A9B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9AF8B6" w:tentative="1">
      <w:start w:val="1"/>
      <w:numFmt w:val="lowerLetter"/>
      <w:lvlText w:val="%2."/>
      <w:lvlJc w:val="left"/>
      <w:pPr>
        <w:ind w:left="1080" w:hanging="360"/>
      </w:pPr>
    </w:lvl>
    <w:lvl w:ilvl="2" w:tplc="1D7A2366" w:tentative="1">
      <w:start w:val="1"/>
      <w:numFmt w:val="lowerRoman"/>
      <w:lvlText w:val="%3."/>
      <w:lvlJc w:val="right"/>
      <w:pPr>
        <w:ind w:left="1800" w:hanging="180"/>
      </w:pPr>
    </w:lvl>
    <w:lvl w:ilvl="3" w:tplc="8A5682AE" w:tentative="1">
      <w:start w:val="1"/>
      <w:numFmt w:val="decimal"/>
      <w:lvlText w:val="%4."/>
      <w:lvlJc w:val="left"/>
      <w:pPr>
        <w:ind w:left="2520" w:hanging="360"/>
      </w:pPr>
    </w:lvl>
    <w:lvl w:ilvl="4" w:tplc="D298BBA0" w:tentative="1">
      <w:start w:val="1"/>
      <w:numFmt w:val="lowerLetter"/>
      <w:lvlText w:val="%5."/>
      <w:lvlJc w:val="left"/>
      <w:pPr>
        <w:ind w:left="3240" w:hanging="360"/>
      </w:pPr>
    </w:lvl>
    <w:lvl w:ilvl="5" w:tplc="69B817BE" w:tentative="1">
      <w:start w:val="1"/>
      <w:numFmt w:val="lowerRoman"/>
      <w:lvlText w:val="%6."/>
      <w:lvlJc w:val="right"/>
      <w:pPr>
        <w:ind w:left="3960" w:hanging="180"/>
      </w:pPr>
    </w:lvl>
    <w:lvl w:ilvl="6" w:tplc="2B48EF30" w:tentative="1">
      <w:start w:val="1"/>
      <w:numFmt w:val="decimal"/>
      <w:lvlText w:val="%7."/>
      <w:lvlJc w:val="left"/>
      <w:pPr>
        <w:ind w:left="4680" w:hanging="360"/>
      </w:pPr>
    </w:lvl>
    <w:lvl w:ilvl="7" w:tplc="B2A4D3CC" w:tentative="1">
      <w:start w:val="1"/>
      <w:numFmt w:val="lowerLetter"/>
      <w:lvlText w:val="%8."/>
      <w:lvlJc w:val="left"/>
      <w:pPr>
        <w:ind w:left="5400" w:hanging="360"/>
      </w:pPr>
    </w:lvl>
    <w:lvl w:ilvl="8" w:tplc="D6CA7BA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876083">
    <w:abstractNumId w:val="9"/>
  </w:num>
  <w:num w:numId="2" w16cid:durableId="135143344">
    <w:abstractNumId w:val="7"/>
  </w:num>
  <w:num w:numId="3" w16cid:durableId="623581580">
    <w:abstractNumId w:val="6"/>
  </w:num>
  <w:num w:numId="4" w16cid:durableId="1092816187">
    <w:abstractNumId w:val="5"/>
  </w:num>
  <w:num w:numId="5" w16cid:durableId="1835685744">
    <w:abstractNumId w:val="4"/>
  </w:num>
  <w:num w:numId="6" w16cid:durableId="422531973">
    <w:abstractNumId w:val="12"/>
  </w:num>
  <w:num w:numId="7" w16cid:durableId="1431390896">
    <w:abstractNumId w:val="11"/>
  </w:num>
  <w:num w:numId="8" w16cid:durableId="434905555">
    <w:abstractNumId w:val="10"/>
  </w:num>
  <w:num w:numId="9" w16cid:durableId="612515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081220">
    <w:abstractNumId w:val="13"/>
  </w:num>
  <w:num w:numId="11" w16cid:durableId="546381894">
    <w:abstractNumId w:val="8"/>
  </w:num>
  <w:num w:numId="12" w16cid:durableId="2092119258">
    <w:abstractNumId w:val="3"/>
  </w:num>
  <w:num w:numId="13" w16cid:durableId="2067290242">
    <w:abstractNumId w:val="2"/>
  </w:num>
  <w:num w:numId="14" w16cid:durableId="1934118643">
    <w:abstractNumId w:val="1"/>
  </w:num>
  <w:num w:numId="15" w16cid:durableId="12171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432B"/>
    <w:rsid w:val="00182B84"/>
    <w:rsid w:val="0018646B"/>
    <w:rsid w:val="00186B9C"/>
    <w:rsid w:val="00191D12"/>
    <w:rsid w:val="001A464A"/>
    <w:rsid w:val="001D68D7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27F3E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3EB8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75F9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4672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368C4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6C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EEC/24_08107_01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EEC/24_08107_00_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chnical-barriers-trade.ec.europa.eu/en/hom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EN/TXT/?uri=CELEX%3A32012R0528&amp;qid=165331989393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FEF9-FF1A-4916-A8BB-677F186DDB4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409</Words>
  <Characters>2464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2024-12-02T14:12:00Z</dcterms:created>
  <dcterms:modified xsi:type="dcterms:W3CDTF">2024-12-02T15:37:00Z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