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271E581" w14:textId="77777777">
      <w:pPr>
        <w:pStyle w:val="Title"/>
        <w:rPr>
          <w:caps w:val="0"/>
          <w:kern w:val="0"/>
        </w:rPr>
      </w:pPr>
      <w:r w:rsidRPr="002F6A28">
        <w:rPr>
          <w:caps w:val="0"/>
          <w:kern w:val="0"/>
        </w:rPr>
        <w:t>NOTIFICATION</w:t>
      </w:r>
    </w:p>
    <w:p w:rsidR="009239F7" w:rsidRPr="002F6A28" w:rsidP="002F6A28" w14:paraId="267E567D" w14:textId="77777777">
      <w:pPr>
        <w:jc w:val="center"/>
      </w:pPr>
      <w:r w:rsidRPr="002F6A28">
        <w:t>The following notification is being circulated in accordance with Article 10.6</w:t>
      </w:r>
    </w:p>
    <w:p w:rsidR="009239F7" w:rsidRPr="002F6A28" w:rsidP="002F6A28" w14:paraId="57C8BDF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5D89927" w14:textId="77777777" w:rsidTr="00DB13FE">
        <w:tblPrEx>
          <w:tblW w:w="5000" w:type="pct"/>
          <w:tblLayout w:type="fixed"/>
          <w:tblLook w:val="0000"/>
        </w:tblPrEx>
        <w:tc>
          <w:tcPr>
            <w:tcW w:w="607" w:type="dxa"/>
            <w:tcBorders>
              <w:top w:val="double" w:sz="4" w:space="0" w:color="auto"/>
            </w:tcBorders>
          </w:tcPr>
          <w:p w:rsidR="00F85C99" w:rsidRPr="002F6A28" w:rsidP="002F6A28" w14:paraId="4B2CB4A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D1B312E"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673A624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84A1693" w14:textId="77777777" w:rsidTr="00DB13FE">
        <w:tblPrEx>
          <w:tblW w:w="5000" w:type="pct"/>
          <w:tblLayout w:type="fixed"/>
          <w:tblLook w:val="0000"/>
        </w:tblPrEx>
        <w:tc>
          <w:tcPr>
            <w:tcW w:w="607" w:type="dxa"/>
          </w:tcPr>
          <w:p w:rsidR="00F85C99" w:rsidRPr="002F6A28" w:rsidP="002F6A28" w14:paraId="21784DD4" w14:textId="77777777">
            <w:pPr>
              <w:spacing w:before="120" w:after="120"/>
              <w:jc w:val="left"/>
            </w:pPr>
            <w:r w:rsidRPr="002F6A28">
              <w:rPr>
                <w:b/>
              </w:rPr>
              <w:t>2.</w:t>
            </w:r>
          </w:p>
        </w:tc>
        <w:tc>
          <w:tcPr>
            <w:tcW w:w="8373" w:type="dxa"/>
          </w:tcPr>
          <w:p w:rsidR="00F85C99" w:rsidRPr="002F6A28" w:rsidP="000C3B6C" w14:paraId="1F4E7DA2" w14:textId="77777777">
            <w:pPr>
              <w:spacing w:before="120" w:after="120"/>
            </w:pPr>
            <w:r w:rsidRPr="002F6A28">
              <w:rPr>
                <w:b/>
              </w:rPr>
              <w:t>Agency responsible:</w:t>
            </w:r>
            <w:r w:rsidRPr="00C379C8" w:rsidR="00EE3A11">
              <w:t xml:space="preserve"> </w:t>
            </w:r>
          </w:p>
          <w:p w:rsidR="00EE3A11" w:rsidRPr="00C379C8" w:rsidP="000C3B6C" w14:paraId="21366B7F" w14:textId="77777777">
            <w:r w:rsidRPr="00C379C8">
              <w:t>European Commission</w:t>
            </w:r>
          </w:p>
          <w:p w:rsidR="00EE3A11" w:rsidRPr="00C379C8" w:rsidP="000C3B6C" w14:paraId="3FC6B117" w14:textId="77777777">
            <w:r w:rsidRPr="00C379C8">
              <w:t>EU-TBT Enquiry Point,</w:t>
            </w:r>
          </w:p>
          <w:p w:rsidR="00EE3A11" w:rsidRPr="00C379C8" w:rsidP="000C3B6C" w14:paraId="4484A3E9" w14:textId="77777777">
            <w:r w:rsidRPr="00C379C8">
              <w:t>Fax: +(32) 2 299 80 43,</w:t>
            </w:r>
          </w:p>
          <w:p w:rsidR="00EE3A11" w:rsidRPr="00C379C8" w:rsidP="000C3B6C" w14:paraId="2F90F258" w14:textId="77777777">
            <w:r w:rsidRPr="00C379C8">
              <w:t xml:space="preserve">E-mail: </w:t>
            </w:r>
            <w:hyperlink r:id="rId6" w:history="1">
              <w:r w:rsidRPr="00C379C8">
                <w:rPr>
                  <w:color w:val="0000FF"/>
                  <w:u w:val="single"/>
                </w:rPr>
                <w:t>grow-eu-tbt@ec.europa.eu</w:t>
              </w:r>
            </w:hyperlink>
          </w:p>
          <w:p w:rsidR="00EE3A11" w:rsidRPr="00C379C8" w:rsidP="000C3B6C" w14:paraId="66ADE57F"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48CFF437" w14:textId="77777777" w:rsidTr="00DB13FE">
        <w:tblPrEx>
          <w:tblW w:w="5000" w:type="pct"/>
          <w:tblLayout w:type="fixed"/>
          <w:tblLook w:val="0000"/>
        </w:tblPrEx>
        <w:tc>
          <w:tcPr>
            <w:tcW w:w="607" w:type="dxa"/>
          </w:tcPr>
          <w:p w:rsidR="00F85C99" w:rsidRPr="002F6A28" w:rsidP="002F6A28" w14:paraId="0D50CC4A" w14:textId="77777777">
            <w:pPr>
              <w:spacing w:before="120" w:after="120"/>
              <w:jc w:val="left"/>
              <w:rPr>
                <w:b/>
              </w:rPr>
            </w:pPr>
            <w:r w:rsidRPr="002F6A28">
              <w:rPr>
                <w:b/>
              </w:rPr>
              <w:t>3.</w:t>
            </w:r>
          </w:p>
        </w:tc>
        <w:tc>
          <w:tcPr>
            <w:tcW w:w="8373" w:type="dxa"/>
          </w:tcPr>
          <w:p w:rsidR="00F85C99" w:rsidRPr="0058336F" w:rsidP="002F6A28" w14:paraId="6FB9DFE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2400A3A" w14:textId="77777777" w:rsidTr="00DB13FE">
        <w:tblPrEx>
          <w:tblW w:w="5000" w:type="pct"/>
          <w:tblLayout w:type="fixed"/>
          <w:tblLook w:val="0000"/>
        </w:tblPrEx>
        <w:tc>
          <w:tcPr>
            <w:tcW w:w="607" w:type="dxa"/>
          </w:tcPr>
          <w:p w:rsidR="00F85C99" w:rsidRPr="002F6A28" w:rsidP="002F6A28" w14:paraId="6CD8C482" w14:textId="77777777">
            <w:pPr>
              <w:spacing w:before="120" w:after="120"/>
              <w:jc w:val="left"/>
            </w:pPr>
            <w:r w:rsidRPr="002F6A28">
              <w:rPr>
                <w:b/>
              </w:rPr>
              <w:t>4.</w:t>
            </w:r>
          </w:p>
        </w:tc>
        <w:tc>
          <w:tcPr>
            <w:tcW w:w="8373" w:type="dxa"/>
          </w:tcPr>
          <w:p w:rsidR="00F85C99" w:rsidRPr="002F6A28" w:rsidP="002F6A28" w14:paraId="52F7A9F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Buprofezin (pesticide active substance)</w:t>
            </w:r>
          </w:p>
        </w:tc>
      </w:tr>
      <w:tr w14:paraId="672F980B" w14:textId="77777777" w:rsidTr="00DB13FE">
        <w:tblPrEx>
          <w:tblW w:w="5000" w:type="pct"/>
          <w:tblLayout w:type="fixed"/>
          <w:tblLook w:val="0000"/>
        </w:tblPrEx>
        <w:tc>
          <w:tcPr>
            <w:tcW w:w="607" w:type="dxa"/>
          </w:tcPr>
          <w:p w:rsidR="00F85C99" w:rsidRPr="002F6A28" w:rsidP="002F6A28" w14:paraId="6DD50DF6" w14:textId="77777777">
            <w:pPr>
              <w:spacing w:before="120" w:after="120"/>
              <w:jc w:val="left"/>
            </w:pPr>
            <w:r w:rsidRPr="002F6A28">
              <w:rPr>
                <w:b/>
              </w:rPr>
              <w:t>5.</w:t>
            </w:r>
          </w:p>
        </w:tc>
        <w:tc>
          <w:tcPr>
            <w:tcW w:w="8373" w:type="dxa"/>
          </w:tcPr>
          <w:p w:rsidR="00F85C99" w:rsidP="002F6A28" w14:paraId="21858DB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Implementing Regulation concerning the non-renewal of the approval of the active substance buprofezin, in accordance with Regulation (EC) No 1107/2009 of the European Parliament and of the Council, and amending Commission Implementing Regulation (EU) No 540/2011; (5 page(s), in English)</w:t>
            </w:r>
          </w:p>
          <w:p w:rsidR="000C3B6C" w:rsidRPr="000C3B6C" w:rsidP="002F6A28" w14:paraId="1B9B16F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03C21" w:rsidRPr="00CE6C29" w:rsidP="002F6A28" w14:paraId="27CD38B5" w14:textId="77777777">
            <w:pPr>
              <w:pBdr>
                <w:top w:val="none" w:sz="0" w:space="4" w:color="auto"/>
              </w:pBdr>
              <w:rPr>
                <w:iCs/>
              </w:rPr>
            </w:pPr>
            <w:hyperlink r:id="rId8" w:tgtFrame="_blank" w:history="1">
              <w:r w:rsidRPr="00CE6C29">
                <w:rPr>
                  <w:iCs/>
                  <w:color w:val="0000FF"/>
                  <w:u w:val="single"/>
                </w:rPr>
                <w:t>https://members.wto.org/crnattachments/2026/TBT/EEC/26_03459_00_e.pdf</w:t>
              </w:r>
            </w:hyperlink>
          </w:p>
          <w:p w:rsidR="00103C21" w:rsidRPr="00CE6C29" w:rsidP="002F6A28" w14:paraId="070540F6" w14:textId="77777777">
            <w:pPr>
              <w:pBdr>
                <w:bottom w:val="none" w:sz="0" w:space="4" w:color="auto"/>
              </w:pBdr>
              <w:rPr>
                <w:iCs/>
              </w:rPr>
            </w:pPr>
            <w:hyperlink r:id="rId9" w:tgtFrame="_blank" w:history="1">
              <w:r w:rsidRPr="00CE6C29">
                <w:rPr>
                  <w:iCs/>
                  <w:color w:val="0000FF"/>
                  <w:u w:val="single"/>
                </w:rPr>
                <w:t>https://members.wto.org/crnattachments/2026/TBT/EEC/26_03459_01_e.pdf</w:t>
              </w:r>
            </w:hyperlink>
          </w:p>
          <w:p w:rsidR="00103C21" w:rsidRPr="002B285A" w:rsidP="002F6A28" w14:paraId="6F99E299" w14:textId="77777777">
            <w:pPr>
              <w:rPr>
                <w:iCs/>
                <w:lang w:val="fr-CH"/>
              </w:rPr>
            </w:pPr>
            <w:r w:rsidRPr="002B285A">
              <w:rPr>
                <w:iCs/>
                <w:lang w:val="fr-CH"/>
              </w:rPr>
              <w:t>European Commission</w:t>
            </w:r>
          </w:p>
          <w:p w:rsidR="00103C21" w:rsidRPr="002B285A" w:rsidP="002F6A28" w14:paraId="7D97017D" w14:textId="77777777">
            <w:pPr>
              <w:rPr>
                <w:iCs/>
                <w:lang w:val="fr-CH"/>
              </w:rPr>
            </w:pPr>
            <w:r w:rsidRPr="002B285A">
              <w:rPr>
                <w:iCs/>
                <w:lang w:val="fr-CH"/>
              </w:rPr>
              <w:t>EU-TBT Enquiry Point</w:t>
            </w:r>
          </w:p>
          <w:p w:rsidR="00103C21" w:rsidRPr="002B285A" w:rsidP="002F6A28" w14:paraId="252106A2" w14:textId="77777777">
            <w:pPr>
              <w:rPr>
                <w:iCs/>
                <w:lang w:val="fr-CH"/>
              </w:rPr>
            </w:pPr>
            <w:r w:rsidRPr="002B285A">
              <w:rPr>
                <w:iCs/>
                <w:lang w:val="fr-CH"/>
              </w:rPr>
              <w:t>Fax: + (32) 2 299 80 43</w:t>
            </w:r>
          </w:p>
          <w:p w:rsidR="00103C21" w:rsidRPr="002B285A" w:rsidP="002F6A28" w14:paraId="7F082FD1" w14:textId="77777777">
            <w:pPr>
              <w:rPr>
                <w:iCs/>
                <w:lang w:val="fr-CH"/>
              </w:rPr>
            </w:pPr>
            <w:r w:rsidRPr="002B285A">
              <w:rPr>
                <w:iCs/>
                <w:lang w:val="fr-CH"/>
              </w:rPr>
              <w:t xml:space="preserve">E-mail: </w:t>
            </w:r>
            <w:hyperlink r:id="rId6" w:history="1">
              <w:r w:rsidRPr="002B285A">
                <w:rPr>
                  <w:iCs/>
                  <w:color w:val="0000FF"/>
                  <w:u w:val="single"/>
                  <w:lang w:val="fr-CH"/>
                </w:rPr>
                <w:t>grow-eu-tbt@ec.europa.eu</w:t>
              </w:r>
            </w:hyperlink>
          </w:p>
          <w:p w:rsidR="00103C21" w:rsidRPr="00CE6C29" w:rsidP="002F6A28" w14:paraId="781F6340"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3CB046D6" w14:textId="77777777" w:rsidTr="00DB13FE">
        <w:tblPrEx>
          <w:tblW w:w="5000" w:type="pct"/>
          <w:tblLayout w:type="fixed"/>
          <w:tblLook w:val="0000"/>
        </w:tblPrEx>
        <w:tc>
          <w:tcPr>
            <w:tcW w:w="607" w:type="dxa"/>
          </w:tcPr>
          <w:p w:rsidR="00F85C99" w:rsidRPr="002F6A28" w:rsidP="002F6A28" w14:paraId="27E8B956" w14:textId="77777777">
            <w:pPr>
              <w:spacing w:before="120" w:after="120"/>
              <w:jc w:val="left"/>
              <w:rPr>
                <w:b/>
              </w:rPr>
            </w:pPr>
            <w:r w:rsidRPr="002F6A28">
              <w:rPr>
                <w:b/>
              </w:rPr>
              <w:t>6.</w:t>
            </w:r>
          </w:p>
        </w:tc>
        <w:tc>
          <w:tcPr>
            <w:tcW w:w="8373" w:type="dxa"/>
          </w:tcPr>
          <w:p w:rsidR="00F85C99" w:rsidRPr="002F6A28" w:rsidP="002F6A28" w14:paraId="261ADBD4" w14:textId="77777777">
            <w:pPr>
              <w:spacing w:before="120" w:after="120"/>
              <w:rPr>
                <w:b/>
              </w:rPr>
            </w:pPr>
            <w:r w:rsidRPr="002F6A28">
              <w:rPr>
                <w:b/>
              </w:rPr>
              <w:t>Description of content:</w:t>
            </w:r>
            <w:r w:rsidRPr="00C379C8" w:rsidR="00FE448B">
              <w:t xml:space="preserve"> This draft Commission Implementing Regulation provides that the approval of the active substance buprofezin is not renewed in accordance with Regulation (EC) No 1107/2009. EU Member States shall withdraw authorisations for plant protection products containing buprofezin as an active substance. The non-renewal of approval is based on the first evaluation of the substance for use as a pesticide active substance in the EU under Regulation (EC) No 1107/2009. The substance was formerly assessed and approved under Directive 91/414/ EEC.</w:t>
            </w:r>
          </w:p>
          <w:p w:rsidR="00FE448B" w:rsidRPr="00C379C8" w:rsidP="002F6A28" w14:paraId="6F7027B5" w14:textId="77777777">
            <w:pPr>
              <w:spacing w:before="120" w:after="120"/>
            </w:pPr>
            <w:r w:rsidRPr="00C379C8">
              <w:t>This decision only concerns the placing on the market of this substance and plant protection products containing it. Following non-approval and the expiry of all grace periods for stocks of products containing this substance, separate action will likely be taken on MRLs and a separate notification will be made in accordance with SPS procedures.</w:t>
            </w:r>
          </w:p>
        </w:tc>
      </w:tr>
      <w:tr w14:paraId="490EC85C" w14:textId="77777777" w:rsidTr="00DB13FE">
        <w:tblPrEx>
          <w:tblW w:w="5000" w:type="pct"/>
          <w:tblLayout w:type="fixed"/>
          <w:tblLook w:val="0000"/>
        </w:tblPrEx>
        <w:tc>
          <w:tcPr>
            <w:tcW w:w="607" w:type="dxa"/>
          </w:tcPr>
          <w:p w:rsidR="00F85C99" w:rsidRPr="002F6A28" w:rsidP="002F6A28" w14:paraId="519A51CA" w14:textId="77777777">
            <w:pPr>
              <w:spacing w:before="120" w:after="120"/>
              <w:jc w:val="left"/>
              <w:rPr>
                <w:b/>
              </w:rPr>
            </w:pPr>
            <w:r w:rsidRPr="002F6A28">
              <w:rPr>
                <w:b/>
              </w:rPr>
              <w:t>7.</w:t>
            </w:r>
          </w:p>
        </w:tc>
        <w:tc>
          <w:tcPr>
            <w:tcW w:w="8373" w:type="dxa"/>
          </w:tcPr>
          <w:p w:rsidR="00F85C99" w:rsidRPr="002F6A28" w:rsidP="002F6A28" w14:paraId="28408841"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animal or plant life or health; protection of the environment.</w:t>
            </w:r>
          </w:p>
          <w:p w:rsidR="00EE3A11" w:rsidRPr="00C379C8" w:rsidP="002F6A28" w14:paraId="4EB7DF3C" w14:textId="77777777">
            <w:pPr>
              <w:spacing w:before="120" w:after="120"/>
            </w:pPr>
            <w:r w:rsidRPr="00C379C8">
              <w:t>In order for an active substance to be approved in accordance with Regulation (EC) No 1107/2009 (concerning the placing of plant protection products on the market), it must be demonstrated that the substance is not harmful to human health, animal health or the environment. Criteria are listed in Article 4 of the Regulation (and also detailed in Annex II thereto) which must be met to enable approval.</w:t>
            </w:r>
          </w:p>
          <w:p w:rsidR="00EE3A11" w:rsidRPr="00C379C8" w:rsidP="002F6A28" w14:paraId="7EFBCE6B" w14:textId="77777777">
            <w:pPr>
              <w:spacing w:before="120" w:after="120"/>
            </w:pPr>
            <w:r w:rsidRPr="00C379C8">
              <w:t>During the evaluation and peer-review of buprofezin, a number of concerns and areas that could not be finalised were identified. These are detailed in the statement of the European Food Safety Authority (EFSA).</w:t>
            </w:r>
          </w:p>
          <w:p w:rsidR="00EE3A11" w:rsidRPr="00C379C8" w:rsidP="002F6A28" w14:paraId="1D2AE5F8" w14:textId="77777777">
            <w:pPr>
              <w:spacing w:before="120" w:after="120"/>
            </w:pPr>
            <w:r w:rsidRPr="00C379C8">
              <w:t>Buprofezin meets the criteria in points 3.6.5 and 3.8.2 of Annex II to Regulation (EC) No 1107/2009 to be identified as an endocrine disruptor for the thyroid (T)-modality for humans and wild mammals and it has not been demonstrated that the exposure of humans and non-target organisms to that active substance in a plant protection product, under realistic proposed conditions of use, is negligible.</w:t>
            </w:r>
          </w:p>
          <w:p w:rsidR="00EE3A11" w:rsidRPr="00C379C8" w:rsidP="002F6A28" w14:paraId="11C521C1" w14:textId="77777777">
            <w:pPr>
              <w:spacing w:before="120" w:after="120"/>
            </w:pPr>
            <w:r w:rsidRPr="00C379C8">
              <w:t>The risk assessment could not be finalised with respect to the endocrine disrupting properties of buprofezin for non-target organisms other than mammals, the risks to consumers considering potential residues present in honey and in succeeding crops, the risks for bees and other non-target arthropods for the uses in non-permanent greenhouses, and the risk for aquatic organisms.</w:t>
            </w:r>
          </w:p>
          <w:p w:rsidR="00EE3A11" w:rsidRPr="00C379C8" w:rsidP="002F6A28" w14:paraId="52ACA79A" w14:textId="77777777">
            <w:pPr>
              <w:spacing w:before="120" w:after="120"/>
            </w:pPr>
            <w:r w:rsidRPr="00C379C8">
              <w:t>These concerns mean that buprofezin does not meet the approval criteria as outlined in Regulation (EC) No 1107/2009.</w:t>
            </w:r>
          </w:p>
          <w:p w:rsidR="00EE3A11" w:rsidRPr="00C379C8" w:rsidP="002F6A28" w14:paraId="44A6AB84" w14:textId="77777777">
            <w:pPr>
              <w:spacing w:before="120" w:after="120"/>
            </w:pPr>
            <w:r w:rsidRPr="00C379C8">
              <w:t>Existing authorisations will need to be withdrawn; EU Member States must withdraw existing plant protection products containing buprofezin at the latest by 6 months from the date of entry into force. A period of grace in line with Article 46 of Regulation 1107/2009 is allowed for and shall expire at the latest 12 months from the entry into force (allowing for a final season of use).; Protection of human health or safety; Protection of animal or plant life or health; Protection of the environment</w:t>
            </w:r>
          </w:p>
        </w:tc>
      </w:tr>
      <w:tr w14:paraId="394643F4" w14:textId="77777777" w:rsidTr="00DB13FE">
        <w:tblPrEx>
          <w:tblW w:w="5000" w:type="pct"/>
          <w:tblLayout w:type="fixed"/>
          <w:tblLook w:val="0000"/>
        </w:tblPrEx>
        <w:tc>
          <w:tcPr>
            <w:tcW w:w="607" w:type="dxa"/>
          </w:tcPr>
          <w:p w:rsidR="00F85C99" w:rsidRPr="002F6A28" w:rsidP="009E75ED" w14:paraId="5729505B" w14:textId="77777777">
            <w:pPr>
              <w:spacing w:before="120" w:after="120"/>
              <w:jc w:val="left"/>
              <w:rPr>
                <w:b/>
              </w:rPr>
            </w:pPr>
            <w:r w:rsidRPr="002F6A28">
              <w:rPr>
                <w:b/>
              </w:rPr>
              <w:t>8.</w:t>
            </w:r>
          </w:p>
        </w:tc>
        <w:tc>
          <w:tcPr>
            <w:tcW w:w="8373" w:type="dxa"/>
          </w:tcPr>
          <w:p w:rsidR="000C3B6C" w:rsidRPr="00EC00D2" w:rsidP="007F13E8" w14:paraId="66FC9237" w14:textId="77777777">
            <w:pPr>
              <w:spacing w:before="120" w:after="120"/>
              <w:rPr>
                <w:bCs/>
              </w:rPr>
            </w:pPr>
            <w:r w:rsidRPr="002F6A28">
              <w:rPr>
                <w:b/>
              </w:rPr>
              <w:t>Relevant documents:</w:t>
            </w:r>
            <w:r w:rsidRPr="002F6A28" w:rsidR="00EE3A11">
              <w:t xml:space="preserve"> </w:t>
            </w:r>
          </w:p>
          <w:p w:rsidR="00EE3A11" w:rsidRPr="002F6A28" w:rsidP="007F13E8" w14:paraId="02823C0C" w14:textId="77777777">
            <w:pPr>
              <w:spacing w:before="120" w:after="120"/>
            </w:pPr>
            <w:r w:rsidRPr="002F6A28">
              <w:t>Regulation (EC) No 1107/2009 of the European Parliament and of the Council of 21 October 2009 concerning the placing of plant protection products on the market and repealing Council Directives 79/117/EEC and 91/414/EEC</w:t>
            </w:r>
          </w:p>
          <w:p w:rsidR="00EE3A11" w:rsidRPr="002F6A28" w:rsidP="007F13E8" w14:paraId="594659B2" w14:textId="77777777">
            <w:pPr>
              <w:spacing w:before="120" w:after="120"/>
            </w:pPr>
            <w:hyperlink r:id="rId10" w:history="1">
              <w:r w:rsidRPr="002F6A28">
                <w:rPr>
                  <w:color w:val="0000FF"/>
                  <w:u w:val="single"/>
                </w:rPr>
                <w:t>https://eur-lex.europa.eu/legal-content/EN/ALL/?uri=CELEX:32009R1107</w:t>
              </w:r>
            </w:hyperlink>
          </w:p>
          <w:p w:rsidR="00EE3A11" w:rsidRPr="002F6A28" w:rsidP="007F13E8" w14:paraId="7AEBEA7D" w14:textId="77777777">
            <w:pPr>
              <w:spacing w:before="120" w:after="120"/>
            </w:pPr>
            <w:r w:rsidRPr="002F6A28">
              <w:t>Commission Implementing Regulation (EU) No 540/2011 of 25 May 2011 implementing Regulation (EC) No 1107/2009 of the European Parliament and of the Council as regards the list of approved active substances (</w:t>
            </w:r>
            <w:r w:rsidRPr="002F6A28">
              <w:rPr>
                <w:i/>
                <w:iCs/>
              </w:rPr>
              <w:t>OJ L 153, 11.6.2011, p. 1–186</w:t>
            </w:r>
            <w:r w:rsidRPr="002F6A28">
              <w:t>)</w:t>
            </w:r>
          </w:p>
          <w:p w:rsidR="00EE3A11" w:rsidRPr="002F6A28" w:rsidP="007F13E8" w14:paraId="478FB2AC" w14:textId="77777777">
            <w:pPr>
              <w:spacing w:before="120" w:after="120"/>
            </w:pPr>
            <w:hyperlink r:id="rId11" w:history="1">
              <w:r w:rsidRPr="002F6A28">
                <w:rPr>
                  <w:color w:val="0000FF"/>
                  <w:u w:val="single"/>
                </w:rPr>
                <w:t>https://eur-lex.europa.eu/legal-content/EN/ALL/?uri=CELEX:32011R0540</w:t>
              </w:r>
            </w:hyperlink>
          </w:p>
          <w:p w:rsidR="00EE3A11" w:rsidRPr="002F6A28" w:rsidP="007F13E8" w14:paraId="6EC654A9" w14:textId="77777777">
            <w:pPr>
              <w:spacing w:before="120" w:after="120"/>
            </w:pPr>
            <w:r w:rsidRPr="002F6A28">
              <w:t>EFSA (European Food Safety Authority), 2025. Peer review of the pesticide risk assessment of the active substance buprofezin. EFSA Journal 2025;23(4):9392</w:t>
            </w:r>
          </w:p>
          <w:p w:rsidR="00EE3A11" w:rsidRPr="002F6A28" w:rsidP="007F13E8" w14:paraId="49AAD1FA" w14:textId="77777777">
            <w:pPr>
              <w:spacing w:before="120" w:after="120"/>
            </w:pPr>
            <w:hyperlink r:id="rId12" w:history="1">
              <w:r w:rsidRPr="002F6A28">
                <w:rPr>
                  <w:color w:val="0000FF"/>
                  <w:u w:val="single"/>
                </w:rPr>
                <w:t>https://doi.org/10.2903/j.efsa.2025.9392</w:t>
              </w:r>
            </w:hyperlink>
          </w:p>
        </w:tc>
      </w:tr>
      <w:tr w14:paraId="33E24FAB" w14:textId="77777777" w:rsidTr="00DB13FE">
        <w:tblPrEx>
          <w:tblW w:w="5000" w:type="pct"/>
          <w:tblLayout w:type="fixed"/>
          <w:tblLook w:val="0000"/>
        </w:tblPrEx>
        <w:tc>
          <w:tcPr>
            <w:tcW w:w="607" w:type="dxa"/>
          </w:tcPr>
          <w:p w:rsidR="00EE3A11" w:rsidRPr="002F6A28" w:rsidP="002F6A28" w14:paraId="57A9C334" w14:textId="77777777">
            <w:pPr>
              <w:spacing w:before="120" w:after="120"/>
              <w:jc w:val="left"/>
              <w:rPr>
                <w:b/>
              </w:rPr>
            </w:pPr>
            <w:r w:rsidRPr="002F6A28">
              <w:rPr>
                <w:b/>
              </w:rPr>
              <w:t>9.</w:t>
            </w:r>
          </w:p>
        </w:tc>
        <w:tc>
          <w:tcPr>
            <w:tcW w:w="8373" w:type="dxa"/>
          </w:tcPr>
          <w:p w:rsidR="00EE3A11" w:rsidRPr="002F6A28" w:rsidP="008953C4" w14:paraId="26B27A62" w14:textId="77777777">
            <w:pPr>
              <w:spacing w:before="120" w:after="120"/>
            </w:pPr>
            <w:r w:rsidRPr="002F6A28">
              <w:rPr>
                <w:b/>
              </w:rPr>
              <w:t>Proposed date of adoption:</w:t>
            </w:r>
            <w:r w:rsidRPr="00C379C8">
              <w:t xml:space="preserve"> October 2026</w:t>
            </w:r>
          </w:p>
          <w:p w:rsidR="00EE3A11" w:rsidRPr="002F6A28" w:rsidP="008953C4" w14:paraId="280DC8EF" w14:textId="77777777">
            <w:pPr>
              <w:spacing w:after="120"/>
            </w:pPr>
            <w:r w:rsidRPr="002F6A28">
              <w:rPr>
                <w:b/>
              </w:rPr>
              <w:t>Proposed date of entry into force:</w:t>
            </w:r>
            <w:r w:rsidRPr="00C379C8">
              <w:t xml:space="preserve"> 20 days following publication in the Official Journal of the EU</w:t>
            </w:r>
          </w:p>
        </w:tc>
      </w:tr>
      <w:tr w14:paraId="73D8A851" w14:textId="77777777" w:rsidTr="00DB13FE">
        <w:tblPrEx>
          <w:tblW w:w="5000" w:type="pct"/>
          <w:tblLayout w:type="fixed"/>
          <w:tblLook w:val="0000"/>
        </w:tblPrEx>
        <w:tc>
          <w:tcPr>
            <w:tcW w:w="607" w:type="dxa"/>
            <w:tcBorders>
              <w:bottom w:val="double" w:sz="4" w:space="0" w:color="auto"/>
            </w:tcBorders>
          </w:tcPr>
          <w:p w:rsidR="00F85C99" w:rsidRPr="002F6A28" w:rsidP="002F6A28" w14:paraId="0C171A9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D646AB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05F20CF" w14:textId="77777777">
            <w:pPr>
              <w:spacing w:before="120" w:after="120"/>
              <w:rPr>
                <w:bCs/>
              </w:rPr>
            </w:pPr>
            <w:r w:rsidRPr="002F6A28">
              <w:rPr>
                <w:b/>
              </w:rPr>
              <w:t>Final date for comments:</w:t>
            </w:r>
            <w:r w:rsidRPr="00C379C8" w:rsidR="00EE3A11">
              <w:t xml:space="preserve"> 31 August 2026</w:t>
            </w:r>
          </w:p>
          <w:p w:rsidR="000C3B6C" w:rsidRPr="00E3324D" w:rsidP="000C3B6C" w14:paraId="1C7A8ABB"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428E022"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2B285A" w:rsidP="000C3B6C" w14:paraId="4F2B34AB" w14:textId="77777777">
            <w:pPr>
              <w:rPr>
                <w:lang w:val="fr-CH"/>
              </w:rPr>
            </w:pPr>
            <w:r w:rsidRPr="002B285A">
              <w:rPr>
                <w:lang w:val="fr-CH"/>
              </w:rPr>
              <w:t>European Commission,</w:t>
            </w:r>
          </w:p>
          <w:p w:rsidR="00CE6C29" w:rsidRPr="002B285A" w:rsidP="000C3B6C" w14:paraId="4790666D" w14:textId="77777777">
            <w:pPr>
              <w:rPr>
                <w:lang w:val="fr-CH"/>
              </w:rPr>
            </w:pPr>
            <w:r w:rsidRPr="002B285A">
              <w:rPr>
                <w:lang w:val="fr-CH"/>
              </w:rPr>
              <w:t>EU-TBT Enquiry Point,</w:t>
            </w:r>
          </w:p>
          <w:p w:rsidR="00CE6C29" w:rsidRPr="002B285A" w:rsidP="000C3B6C" w14:paraId="09B6496E" w14:textId="77777777">
            <w:pPr>
              <w:rPr>
                <w:lang w:val="fr-CH"/>
              </w:rPr>
            </w:pPr>
            <w:r w:rsidRPr="002B285A">
              <w:rPr>
                <w:lang w:val="fr-CH"/>
              </w:rPr>
              <w:t>Fax: + (32) 2 299 80 43,</w:t>
            </w:r>
          </w:p>
          <w:p w:rsidR="00CE6C29" w:rsidRPr="002B285A" w:rsidP="000C3B6C" w14:paraId="312BAEAB" w14:textId="77777777">
            <w:pPr>
              <w:spacing w:after="120"/>
              <w:rPr>
                <w:lang w:val="fr-CH"/>
              </w:rPr>
            </w:pPr>
            <w:r w:rsidRPr="002B285A">
              <w:rPr>
                <w:lang w:val="fr-CH"/>
              </w:rPr>
              <w:t xml:space="preserve">E-mail: </w:t>
            </w:r>
            <w:hyperlink r:id="rId6" w:history="1">
              <w:r w:rsidRPr="002B285A">
                <w:rPr>
                  <w:color w:val="0000FF"/>
                  <w:u w:val="single"/>
                  <w:lang w:val="fr-CH"/>
                </w:rPr>
                <w:t>grow-eu-tbt@ec.europa.eu</w:t>
              </w:r>
            </w:hyperlink>
          </w:p>
        </w:tc>
      </w:tr>
    </w:tbl>
    <w:p w:rsidR="00EE3A11" w:rsidRPr="002B285A" w:rsidP="00887259" w14:paraId="59BE0F3B" w14:textId="77777777">
      <w:pPr>
        <w:jc w:val="center"/>
        <w:rPr>
          <w:lang w:val="fr-CH"/>
        </w:rP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B3596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2F8096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1CB27F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9CF39A4" w14:textId="77777777">
    <w:pPr>
      <w:pStyle w:val="Header"/>
      <w:pBdr>
        <w:bottom w:val="single" w:sz="4" w:space="1" w:color="auto"/>
      </w:pBdr>
      <w:tabs>
        <w:tab w:val="clear" w:pos="4513"/>
        <w:tab w:val="clear" w:pos="9027"/>
      </w:tabs>
      <w:jc w:val="center"/>
    </w:pPr>
    <w:r w:rsidRPr="002F6A28">
      <w:t>tbtSymbol</w:t>
    </w:r>
  </w:p>
  <w:p w:rsidR="009239F7" w:rsidRPr="002F6A28" w:rsidP="009239F7" w14:paraId="3DE311C9" w14:textId="77777777">
    <w:pPr>
      <w:pStyle w:val="Header"/>
      <w:pBdr>
        <w:bottom w:val="single" w:sz="4" w:space="1" w:color="auto"/>
      </w:pBdr>
      <w:tabs>
        <w:tab w:val="clear" w:pos="4513"/>
        <w:tab w:val="clear" w:pos="9027"/>
      </w:tabs>
      <w:jc w:val="center"/>
    </w:pPr>
  </w:p>
  <w:p w:rsidR="009239F7" w:rsidRPr="002F6A28" w:rsidP="009239F7" w14:paraId="4B2E114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158BE2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01B123" w14:textId="77777777">
    <w:pPr>
      <w:pStyle w:val="Header"/>
      <w:pBdr>
        <w:bottom w:val="single" w:sz="4" w:space="1" w:color="auto"/>
      </w:pBdr>
      <w:tabs>
        <w:tab w:val="clear" w:pos="4513"/>
        <w:tab w:val="clear" w:pos="9027"/>
      </w:tabs>
      <w:jc w:val="center"/>
    </w:pPr>
    <w:bookmarkStart w:id="0" w:name="spsSymbolHeader"/>
    <w:r w:rsidRPr="002F6A28">
      <w:t>G/TBT/N/EU/1218</w:t>
    </w:r>
    <w:bookmarkEnd w:id="0"/>
  </w:p>
  <w:p w:rsidR="009239F7" w:rsidRPr="002F6A28" w:rsidP="009239F7" w14:paraId="3CF560D5" w14:textId="77777777">
    <w:pPr>
      <w:pStyle w:val="Header"/>
      <w:pBdr>
        <w:bottom w:val="single" w:sz="4" w:space="1" w:color="auto"/>
      </w:pBdr>
      <w:tabs>
        <w:tab w:val="clear" w:pos="4513"/>
        <w:tab w:val="clear" w:pos="9027"/>
      </w:tabs>
      <w:jc w:val="center"/>
    </w:pPr>
  </w:p>
  <w:p w:rsidR="009239F7" w:rsidRPr="002F6A28" w:rsidP="009239F7" w14:paraId="2C90B26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4619104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55CD4B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390E57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8BFE90F" w14:textId="77777777">
          <w:pPr>
            <w:jc w:val="right"/>
            <w:rPr>
              <w:b/>
              <w:color w:val="FF0000"/>
              <w:szCs w:val="16"/>
            </w:rPr>
          </w:pPr>
        </w:p>
      </w:tc>
    </w:tr>
    <w:bookmarkEnd w:id="1"/>
    <w:tr w14:paraId="1B56235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558680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B9C041A" w14:textId="77777777">
          <w:pPr>
            <w:jc w:val="right"/>
            <w:rPr>
              <w:b/>
              <w:szCs w:val="16"/>
            </w:rPr>
          </w:pPr>
        </w:p>
      </w:tc>
    </w:tr>
    <w:tr w14:paraId="299988D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29604B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0409B7A" w14:textId="77777777">
          <w:pPr>
            <w:jc w:val="right"/>
            <w:rPr>
              <w:b/>
              <w:szCs w:val="16"/>
            </w:rPr>
          </w:pPr>
          <w:bookmarkStart w:id="2" w:name="bmkSymbols"/>
          <w:r w:rsidRPr="002F6A28">
            <w:rPr>
              <w:b/>
              <w:szCs w:val="16"/>
            </w:rPr>
            <w:t>G/TBT/N/EU/1218</w:t>
          </w:r>
          <w:bookmarkEnd w:id="2"/>
        </w:p>
      </w:tc>
    </w:tr>
    <w:tr w14:paraId="4992797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2235AB4" w14:textId="77777777"/>
      </w:tc>
      <w:tc>
        <w:tcPr>
          <w:tcW w:w="5448" w:type="dxa"/>
          <w:gridSpan w:val="2"/>
          <w:shd w:val="clear" w:color="auto" w:fill="FFFFFF"/>
          <w:tcMar>
            <w:left w:w="108" w:type="dxa"/>
            <w:right w:w="108" w:type="dxa"/>
          </w:tcMar>
          <w:vAlign w:val="center"/>
        </w:tcPr>
        <w:p w:rsidR="00ED54E0" w:rsidRPr="009239F7" w:rsidP="00B801E9" w14:paraId="215B6084" w14:textId="77777777">
          <w:pPr>
            <w:jc w:val="right"/>
            <w:rPr>
              <w:szCs w:val="16"/>
            </w:rPr>
          </w:pPr>
          <w:bookmarkStart w:id="3" w:name="spsDateDistribution"/>
          <w:bookmarkStart w:id="4" w:name="bmkDate"/>
          <w:r w:rsidRPr="009239F7">
            <w:rPr>
              <w:szCs w:val="16"/>
            </w:rPr>
            <w:t>2 July 2026</w:t>
          </w:r>
          <w:bookmarkEnd w:id="3"/>
          <w:bookmarkEnd w:id="4"/>
        </w:p>
      </w:tc>
    </w:tr>
    <w:tr w14:paraId="0A1B927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34B1FC7" w14:textId="77777777">
          <w:pPr>
            <w:jc w:val="left"/>
            <w:rPr>
              <w:b/>
            </w:rPr>
          </w:pPr>
          <w:bookmarkStart w:id="5" w:name="bmkSerial"/>
          <w:r>
            <w:rPr>
              <w:rFonts w:ascii="Verdana" w:eastAsia="Verdana" w:hAnsi="Verdana" w:cs="Verdana"/>
              <w:b w:val="0"/>
              <w:color w:val="FF0000"/>
              <w:sz w:val="18"/>
            </w:rPr>
            <w:t>(26-4790)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40EE2B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0BB0903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ECFBEB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2D4759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F98ED0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30425737">
    <w:abstractNumId w:val="9"/>
  </w:num>
  <w:num w:numId="2" w16cid:durableId="1583175865">
    <w:abstractNumId w:val="7"/>
  </w:num>
  <w:num w:numId="3" w16cid:durableId="1982810378">
    <w:abstractNumId w:val="6"/>
  </w:num>
  <w:num w:numId="4" w16cid:durableId="1843886209">
    <w:abstractNumId w:val="5"/>
  </w:num>
  <w:num w:numId="5" w16cid:durableId="1245842131">
    <w:abstractNumId w:val="4"/>
  </w:num>
  <w:num w:numId="6" w16cid:durableId="1407990055">
    <w:abstractNumId w:val="12"/>
  </w:num>
  <w:num w:numId="7" w16cid:durableId="1406802396">
    <w:abstractNumId w:val="11"/>
  </w:num>
  <w:num w:numId="8" w16cid:durableId="1304503484">
    <w:abstractNumId w:val="10"/>
  </w:num>
  <w:num w:numId="9" w16cid:durableId="17802934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0710656">
    <w:abstractNumId w:val="13"/>
  </w:num>
  <w:num w:numId="11" w16cid:durableId="699471473">
    <w:abstractNumId w:val="8"/>
  </w:num>
  <w:num w:numId="12" w16cid:durableId="580408407">
    <w:abstractNumId w:val="3"/>
  </w:num>
  <w:num w:numId="13" w16cid:durableId="1204825728">
    <w:abstractNumId w:val="2"/>
  </w:num>
  <w:num w:numId="14" w16cid:durableId="1382553520">
    <w:abstractNumId w:val="1"/>
  </w:num>
  <w:num w:numId="15" w16cid:durableId="1415128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0F70A2"/>
    <w:rsid w:val="00103C21"/>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B285A"/>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441D1"/>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31767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legal-content/EN/ALL/?uri=CELEX:32009R1107" TargetMode="External" /><Relationship Id="rId11" Type="http://schemas.openxmlformats.org/officeDocument/2006/relationships/hyperlink" Target="https://eur-lex.europa.eu/legal-content/EN/ALL/?uri=CELEX:32011R0540" TargetMode="External" /><Relationship Id="rId12" Type="http://schemas.openxmlformats.org/officeDocument/2006/relationships/hyperlink" Target="https://doi.org/10.2903/j.efsa.2025.9392"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3459_00_e.pdf" TargetMode="External" /><Relationship Id="rId9" Type="http://schemas.openxmlformats.org/officeDocument/2006/relationships/hyperlink" Target="https://members.wto.org/crnattachments/2026/TBT/EEC/26_03459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D11CA377-73F1-48D3-A347-BCCF766783C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2026-07-02T13:23:00Z</dcterms:created>
  <dcterms:modified xsi:type="dcterms:W3CDTF">2026-07-02T13:23:00Z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